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77" w:firstLine="0"/>
        <w:rPr>
          <w:b/>
          <w:color w:val="000000"/>
          <w:sz w:val="18"/>
          <w:szCs w:val="18"/>
        </w:rPr>
      </w:pPr>
      <w:bookmarkStart w:id="5" w:name="_GoBack"/>
      <w:bookmarkEnd w:id="5"/>
      <w:r>
        <w:rPr>
          <w:b/>
          <w:color w:val="000000"/>
          <w:sz w:val="18"/>
          <w:szCs w:val="18"/>
        </w:rPr>
        <w:drawing>
          <wp:inline distT="19050" distB="19050" distL="19050" distR="19050">
            <wp:extent cx="4048125" cy="57912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10" name="image1.png"/>
                    <pic:cNvPicPr preferRelativeResize="0"/>
                  </pic:nvPicPr>
                  <pic:blipFill>
                    <a:blip r:embed="rId6"/>
                    <a:srcRect/>
                    <a:stretch>
                      <a:fillRect/>
                    </a:stretch>
                  </pic:blipFill>
                  <pic:spPr>
                    <a:xfrm>
                      <a:off x="0" y="0"/>
                      <a:ext cx="4048125" cy="5791200"/>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simplePos x="0" y="0"/>
                <wp:positionH relativeFrom="column">
                  <wp:posOffset>2890520</wp:posOffset>
                </wp:positionH>
                <wp:positionV relativeFrom="paragraph">
                  <wp:posOffset>1531620</wp:posOffset>
                </wp:positionV>
                <wp:extent cx="1271270" cy="542290"/>
                <wp:effectExtent l="0" t="0" r="0" b="0"/>
                <wp:wrapNone/>
                <wp:docPr id="8" name="Rectangles 8"/>
                <wp:cNvGraphicFramePr/>
                <a:graphic xmlns:a="http://schemas.openxmlformats.org/drawingml/2006/main">
                  <a:graphicData uri="http://schemas.microsoft.com/office/word/2010/wordprocessingShape">
                    <wps:wsp>
                      <wps:cNvSpPr/>
                      <wps:spPr>
                        <a:xfrm>
                          <a:off x="4720042" y="3518435"/>
                          <a:ext cx="1251916" cy="523130"/>
                        </a:xfrm>
                        <a:prstGeom prst="rect">
                          <a:avLst/>
                        </a:prstGeom>
                        <a:solidFill>
                          <a:srgbClr val="FFC000"/>
                        </a:solidFill>
                        <a:ln>
                          <a:noFill/>
                        </a:ln>
                      </wps:spPr>
                      <wps:txbx>
                        <w:txbxContent>
                          <w:p w14:paraId="474BAF58">
                            <w:pPr>
                              <w:spacing w:before="0" w:after="0" w:line="275" w:lineRule="auto"/>
                              <w:ind w:left="0" w:right="0" w:firstLine="0"/>
                              <w:jc w:val="left"/>
                            </w:pPr>
                            <w:r>
                              <w:rPr>
                                <w:rFonts w:ascii="Arial" w:hAnsi="Arial" w:eastAsia="Arial" w:cs="Arial"/>
                                <w:b w:val="0"/>
                                <w:i w:val="0"/>
                                <w:smallCaps w:val="0"/>
                                <w:strike w:val="0"/>
                                <w:color w:val="000000"/>
                                <w:sz w:val="52"/>
                                <w:vertAlign w:val="baseline"/>
                              </w:rPr>
                              <w:t>2025</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227.6pt;margin-top:120.6pt;height:42.7pt;width:100.1pt;z-index:251659264;v-text-anchor:middle;mso-width-relative:page;mso-height-relative:page;" fillcolor="#FFC000" filled="t" stroked="f" coordsize="21600,21600" o:gfxdata="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Jfjj7bAAAACwEAAA8AAAAAAAAAAQAgAAAAIgAAAGRycy9k&#10;b3ducmV2LnhtbFBLAQIUABQAAAAIAIdO4kCYWlcA/wEAAPoDAAAOAAAAAAAAAAEAIAAAACoBAABk&#10;cnMvZTJvRG9jLnhtbFBLBQYAAAAABgAGAFkBAACbBQAAAAA=&#10;">
                <v:fill on="t" focussize="0,0"/>
                <v:stroke on="f"/>
                <v:imagedata o:title=""/>
                <o:lock v:ext="edit" aspectratio="f"/>
                <v:textbox inset="7.1988188976378pt,3.59842519685039pt,7.1988188976378pt,3.59842519685039pt">
                  <w:txbxContent>
                    <w:p w14:paraId="474BAF58">
                      <w:pPr>
                        <w:spacing w:before="0" w:after="0" w:line="275" w:lineRule="auto"/>
                        <w:ind w:left="0" w:right="0" w:firstLine="0"/>
                        <w:jc w:val="left"/>
                      </w:pPr>
                      <w:r>
                        <w:rPr>
                          <w:rFonts w:ascii="Arial" w:hAnsi="Arial" w:eastAsia="Arial" w:cs="Arial"/>
                          <w:b w:val="0"/>
                          <w:i w:val="0"/>
                          <w:smallCaps w:val="0"/>
                          <w:strike w:val="0"/>
                          <w:color w:val="000000"/>
                          <w:sz w:val="52"/>
                          <w:vertAlign w:val="baseline"/>
                        </w:rPr>
                        <w:t>2025</w:t>
                      </w:r>
                    </w:p>
                  </w:txbxContent>
                </v:textbox>
              </v:rect>
            </w:pict>
          </mc:Fallback>
        </mc:AlternateContent>
      </w:r>
    </w:p>
    <w:p w14:paraId="00000002">
      <w:pPr>
        <w:widowControl w:val="0"/>
        <w:pBdr>
          <w:top w:val="none" w:color="auto" w:sz="0" w:space="0"/>
          <w:left w:val="none" w:color="auto" w:sz="0" w:space="0"/>
          <w:bottom w:val="none" w:color="auto" w:sz="0" w:space="0"/>
          <w:right w:val="none" w:color="auto" w:sz="0" w:space="0"/>
          <w:between w:val="none" w:color="auto" w:sz="0" w:space="0"/>
        </w:pBdr>
        <w:spacing w:before="3287" w:line="240" w:lineRule="auto"/>
        <w:ind w:right="74"/>
        <w:rPr>
          <w:b/>
          <w:color w:val="000000"/>
          <w:sz w:val="18"/>
          <w:szCs w:val="18"/>
        </w:rPr>
      </w:pPr>
    </w:p>
    <w:p w14:paraId="00000003">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1" w:firstLine="0"/>
        <w:rPr>
          <w:b/>
          <w:color w:val="000000"/>
          <w:sz w:val="18"/>
          <w:szCs w:val="18"/>
        </w:rPr>
      </w:pPr>
    </w:p>
    <w:p w14:paraId="00000004">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5">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6">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7">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8">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9">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A">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B">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r>
        <w:rPr>
          <w:b/>
          <w:color w:val="000000"/>
          <w:sz w:val="18"/>
          <w:szCs w:val="18"/>
          <w:rtl w:val="0"/>
        </w:rPr>
        <w:t xml:space="preserve">Inhoudsopgave </w:t>
      </w:r>
    </w:p>
    <w:p w14:paraId="0000000C">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00D">
      <w:pPr>
        <w:widowControl w:val="0"/>
        <w:pBdr>
          <w:top w:val="none" w:color="auto" w:sz="0" w:space="0"/>
          <w:left w:val="none" w:color="auto" w:sz="0" w:space="0"/>
          <w:bottom w:val="none" w:color="auto" w:sz="0" w:space="0"/>
          <w:right w:val="none" w:color="auto" w:sz="0" w:space="0"/>
          <w:between w:val="none" w:color="auto" w:sz="0" w:space="0"/>
        </w:pBdr>
        <w:spacing w:line="240" w:lineRule="auto"/>
        <w:rPr>
          <w:color w:val="000000"/>
          <w:sz w:val="18"/>
          <w:szCs w:val="18"/>
        </w:rPr>
      </w:pPr>
      <w:r>
        <w:rPr>
          <w:color w:val="000000"/>
          <w:sz w:val="18"/>
          <w:szCs w:val="18"/>
          <w:rtl w:val="0"/>
        </w:rPr>
        <w:t xml:space="preserve">Een woord vooraf  </w:t>
      </w:r>
    </w:p>
    <w:p w14:paraId="0000000E">
      <w:pPr>
        <w:widowControl w:val="0"/>
        <w:pBdr>
          <w:top w:val="none" w:color="auto" w:sz="0" w:space="0"/>
          <w:left w:val="none" w:color="auto" w:sz="0" w:space="0"/>
          <w:bottom w:val="none" w:color="auto" w:sz="0" w:space="0"/>
          <w:right w:val="none" w:color="auto" w:sz="0" w:space="0"/>
          <w:between w:val="none" w:color="auto" w:sz="0" w:space="0"/>
        </w:pBdr>
        <w:spacing w:line="240" w:lineRule="auto"/>
        <w:rPr>
          <w:sz w:val="18"/>
          <w:szCs w:val="18"/>
        </w:rPr>
      </w:pPr>
    </w:p>
    <w:p w14:paraId="0000000F">
      <w:pPr>
        <w:widowControl w:val="0"/>
        <w:pBdr>
          <w:top w:val="none" w:color="auto" w:sz="0" w:space="0"/>
          <w:left w:val="none" w:color="auto" w:sz="0" w:space="0"/>
          <w:bottom w:val="none" w:color="auto" w:sz="0" w:space="0"/>
          <w:right w:val="none" w:color="auto" w:sz="0" w:space="0"/>
          <w:between w:val="none" w:color="auto" w:sz="0" w:space="0"/>
        </w:pBdr>
        <w:spacing w:line="240" w:lineRule="auto"/>
        <w:rPr>
          <w:sz w:val="18"/>
          <w:szCs w:val="18"/>
        </w:rPr>
      </w:pPr>
      <w:r>
        <w:rPr>
          <w:sz w:val="18"/>
          <w:szCs w:val="18"/>
          <w:rtl w:val="0"/>
        </w:rPr>
        <w:t xml:space="preserve">1 </w:t>
      </w:r>
      <w:r>
        <w:rPr>
          <w:color w:val="000000"/>
          <w:sz w:val="18"/>
          <w:szCs w:val="18"/>
          <w:rtl w:val="0"/>
        </w:rPr>
        <w:t xml:space="preserve">De school </w:t>
      </w:r>
      <w:r>
        <w:rPr>
          <w:sz w:val="18"/>
          <w:szCs w:val="18"/>
          <w:rtl w:val="0"/>
        </w:rPr>
        <w:t xml:space="preserve">   </w:t>
      </w:r>
      <w:r>
        <w:rPr>
          <w:sz w:val="18"/>
          <w:szCs w:val="18"/>
          <w:rtl w:val="0"/>
        </w:rPr>
        <w:tab/>
      </w:r>
      <w:r>
        <w:rPr>
          <w:sz w:val="18"/>
          <w:szCs w:val="18"/>
          <w:rtl w:val="0"/>
        </w:rPr>
        <w:t xml:space="preserve">   </w:t>
      </w:r>
    </w:p>
    <w:p w14:paraId="00000010">
      <w:pPr>
        <w:widowControl w:val="0"/>
        <w:pBdr>
          <w:top w:val="none" w:color="auto" w:sz="0" w:space="0"/>
          <w:left w:val="none" w:color="auto" w:sz="0" w:space="0"/>
          <w:bottom w:val="none" w:color="auto" w:sz="0" w:space="0"/>
          <w:right w:val="none" w:color="auto" w:sz="0" w:space="0"/>
          <w:between w:val="none" w:color="auto" w:sz="0" w:space="0"/>
        </w:pBdr>
        <w:spacing w:line="240" w:lineRule="auto"/>
        <w:rPr>
          <w:sz w:val="18"/>
          <w:szCs w:val="18"/>
        </w:rPr>
      </w:pPr>
    </w:p>
    <w:p w14:paraId="00000011">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440" w:firstLine="0"/>
        <w:rPr>
          <w:color w:val="000000"/>
          <w:sz w:val="18"/>
          <w:szCs w:val="18"/>
        </w:rPr>
      </w:pPr>
      <w:r>
        <w:rPr>
          <w:sz w:val="18"/>
          <w:szCs w:val="18"/>
          <w:rtl w:val="0"/>
        </w:rPr>
        <w:t xml:space="preserve">    </w:t>
      </w:r>
      <w:r>
        <w:rPr>
          <w:color w:val="000000"/>
          <w:sz w:val="18"/>
          <w:szCs w:val="18"/>
          <w:rtl w:val="0"/>
        </w:rPr>
        <w:t xml:space="preserve">1.1 Naam </w:t>
      </w:r>
    </w:p>
    <w:p w14:paraId="0000001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10" w:firstLine="0"/>
        <w:rPr>
          <w:color w:val="000000"/>
          <w:sz w:val="18"/>
          <w:szCs w:val="18"/>
        </w:rPr>
      </w:pPr>
      <w:r>
        <w:rPr>
          <w:color w:val="000000"/>
          <w:sz w:val="18"/>
          <w:szCs w:val="18"/>
          <w:rtl w:val="0"/>
        </w:rPr>
        <w:t xml:space="preserve">1.2 Ontstaansgeschiedenis </w:t>
      </w:r>
    </w:p>
    <w:p w14:paraId="0000001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10" w:firstLine="0"/>
        <w:rPr>
          <w:color w:val="000000"/>
          <w:sz w:val="18"/>
          <w:szCs w:val="18"/>
        </w:rPr>
      </w:pPr>
      <w:r>
        <w:rPr>
          <w:color w:val="000000"/>
          <w:sz w:val="18"/>
          <w:szCs w:val="18"/>
          <w:rtl w:val="0"/>
        </w:rPr>
        <w:t xml:space="preserve">1.3 Het bestuur en de organisatie </w:t>
      </w:r>
    </w:p>
    <w:p w14:paraId="0000001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10" w:firstLine="0"/>
        <w:rPr>
          <w:color w:val="000000"/>
          <w:sz w:val="18"/>
          <w:szCs w:val="18"/>
        </w:rPr>
      </w:pPr>
      <w:r>
        <w:rPr>
          <w:color w:val="000000"/>
          <w:sz w:val="18"/>
          <w:szCs w:val="18"/>
          <w:rtl w:val="0"/>
        </w:rPr>
        <w:t xml:space="preserve">1.4 Situering van de leslocaties  </w:t>
      </w:r>
    </w:p>
    <w:p w14:paraId="00000015">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2" w:firstLine="0"/>
        <w:rPr>
          <w:color w:val="000000"/>
          <w:sz w:val="18"/>
          <w:szCs w:val="18"/>
        </w:rPr>
      </w:pPr>
      <w:r>
        <w:rPr>
          <w:color w:val="000000"/>
          <w:sz w:val="18"/>
          <w:szCs w:val="18"/>
          <w:rtl w:val="0"/>
        </w:rPr>
        <w:t xml:space="preserve">2 Waar de school voor staat </w:t>
      </w:r>
    </w:p>
    <w:p w14:paraId="0000001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sz w:val="18"/>
          <w:szCs w:val="18"/>
        </w:rPr>
      </w:pPr>
    </w:p>
    <w:p w14:paraId="0000001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color w:val="000000"/>
          <w:sz w:val="18"/>
          <w:szCs w:val="18"/>
        </w:rPr>
      </w:pPr>
      <w:r>
        <w:rPr>
          <w:color w:val="000000"/>
          <w:sz w:val="18"/>
          <w:szCs w:val="18"/>
          <w:rtl w:val="0"/>
        </w:rPr>
        <w:t xml:space="preserve">2.1 Missie en visie </w:t>
      </w:r>
    </w:p>
    <w:p w14:paraId="0000001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color w:val="000000"/>
          <w:sz w:val="18"/>
          <w:szCs w:val="18"/>
        </w:rPr>
      </w:pPr>
      <w:r>
        <w:rPr>
          <w:color w:val="000000"/>
          <w:sz w:val="18"/>
          <w:szCs w:val="18"/>
          <w:rtl w:val="0"/>
        </w:rPr>
        <w:t xml:space="preserve">2.2 Het pedagogische klimaat van de school </w:t>
      </w:r>
    </w:p>
    <w:p w14:paraId="0000001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color w:val="000000"/>
          <w:sz w:val="18"/>
          <w:szCs w:val="18"/>
        </w:rPr>
      </w:pPr>
      <w:r>
        <w:rPr>
          <w:color w:val="000000"/>
          <w:sz w:val="18"/>
          <w:szCs w:val="18"/>
          <w:rtl w:val="0"/>
        </w:rPr>
        <w:t xml:space="preserve">2.3 Het didactische klimaat van de school </w:t>
      </w:r>
    </w:p>
    <w:p w14:paraId="0000001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color w:val="000000"/>
          <w:sz w:val="18"/>
          <w:szCs w:val="18"/>
        </w:rPr>
      </w:pPr>
      <w:r>
        <w:rPr>
          <w:color w:val="000000"/>
          <w:sz w:val="18"/>
          <w:szCs w:val="18"/>
          <w:rtl w:val="0"/>
        </w:rPr>
        <w:t xml:space="preserve">2.4 Aannamebeleid </w:t>
      </w:r>
    </w:p>
    <w:p w14:paraId="0000001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3" w:firstLine="0"/>
        <w:rPr>
          <w:color w:val="000000"/>
          <w:sz w:val="18"/>
          <w:szCs w:val="18"/>
        </w:rPr>
      </w:pPr>
      <w:r>
        <w:rPr>
          <w:color w:val="000000"/>
          <w:sz w:val="18"/>
          <w:szCs w:val="18"/>
          <w:rtl w:val="0"/>
        </w:rPr>
        <w:t xml:space="preserve">2.5 Absentiebeleid </w:t>
      </w:r>
    </w:p>
    <w:p w14:paraId="0000001C">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5" w:firstLine="0"/>
        <w:rPr>
          <w:color w:val="000000"/>
          <w:sz w:val="18"/>
          <w:szCs w:val="18"/>
        </w:rPr>
      </w:pPr>
      <w:r>
        <w:rPr>
          <w:color w:val="000000"/>
          <w:sz w:val="18"/>
          <w:szCs w:val="18"/>
          <w:rtl w:val="0"/>
        </w:rPr>
        <w:t xml:space="preserve">3 De organisatie van het onderwijs </w:t>
      </w:r>
    </w:p>
    <w:p w14:paraId="0000001D">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sz w:val="18"/>
          <w:szCs w:val="18"/>
        </w:rPr>
      </w:pPr>
    </w:p>
    <w:p w14:paraId="0000001E">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3.1 Schoolgrootte en groepsindeling </w:t>
      </w:r>
    </w:p>
    <w:p w14:paraId="0000001F">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3.2 Onderwijsaanbod: doelen en methoden </w:t>
      </w:r>
    </w:p>
    <w:p w14:paraId="00000020">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66" w:firstLine="0"/>
        <w:rPr>
          <w:color w:val="000000"/>
          <w:sz w:val="18"/>
          <w:szCs w:val="18"/>
        </w:rPr>
      </w:pPr>
      <w:r>
        <w:rPr>
          <w:color w:val="000000"/>
          <w:sz w:val="18"/>
          <w:szCs w:val="18"/>
          <w:rtl w:val="0"/>
        </w:rPr>
        <w:t xml:space="preserve">3.3 Huiswerk </w:t>
      </w:r>
    </w:p>
    <w:p w14:paraId="0000002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66" w:firstLine="0"/>
        <w:rPr>
          <w:color w:val="000000"/>
          <w:sz w:val="18"/>
          <w:szCs w:val="18"/>
        </w:rPr>
      </w:pPr>
      <w:r>
        <w:rPr>
          <w:color w:val="000000"/>
          <w:sz w:val="18"/>
          <w:szCs w:val="18"/>
          <w:rtl w:val="0"/>
        </w:rPr>
        <w:t xml:space="preserve">3.4 Culturele activiteiten en het Knikkerkamp </w:t>
      </w:r>
    </w:p>
    <w:p w14:paraId="00000022">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1" w:firstLine="0"/>
        <w:rPr>
          <w:color w:val="000000"/>
          <w:sz w:val="18"/>
          <w:szCs w:val="18"/>
        </w:rPr>
      </w:pPr>
      <w:r>
        <w:rPr>
          <w:color w:val="000000"/>
          <w:sz w:val="18"/>
          <w:szCs w:val="18"/>
          <w:rtl w:val="0"/>
        </w:rPr>
        <w:t xml:space="preserve">4. De zorg voor kinderen </w:t>
      </w:r>
    </w:p>
    <w:p w14:paraId="0000002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59" w:firstLine="0"/>
        <w:rPr>
          <w:sz w:val="18"/>
          <w:szCs w:val="18"/>
        </w:rPr>
      </w:pPr>
    </w:p>
    <w:p w14:paraId="0000002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59" w:firstLine="0"/>
        <w:rPr>
          <w:color w:val="000000"/>
          <w:sz w:val="18"/>
          <w:szCs w:val="18"/>
        </w:rPr>
      </w:pPr>
      <w:r>
        <w:rPr>
          <w:color w:val="000000"/>
          <w:sz w:val="18"/>
          <w:szCs w:val="18"/>
          <w:rtl w:val="0"/>
        </w:rPr>
        <w:t xml:space="preserve">4.1 Leerlingvolgsysteem </w:t>
      </w:r>
    </w:p>
    <w:p w14:paraId="00000025">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59" w:firstLine="0"/>
        <w:rPr>
          <w:color w:val="000000"/>
          <w:sz w:val="18"/>
          <w:szCs w:val="18"/>
        </w:rPr>
      </w:pPr>
      <w:r>
        <w:rPr>
          <w:color w:val="000000"/>
          <w:sz w:val="18"/>
          <w:szCs w:val="18"/>
          <w:rtl w:val="0"/>
        </w:rPr>
        <w:t xml:space="preserve">4.2 Toetsing </w:t>
      </w:r>
    </w:p>
    <w:p w14:paraId="0000002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59" w:firstLine="0"/>
        <w:rPr>
          <w:color w:val="000000"/>
          <w:sz w:val="18"/>
          <w:szCs w:val="18"/>
        </w:rPr>
      </w:pPr>
      <w:r>
        <w:rPr>
          <w:color w:val="000000"/>
          <w:sz w:val="18"/>
          <w:szCs w:val="18"/>
          <w:rtl w:val="0"/>
        </w:rPr>
        <w:t xml:space="preserve">4.3 Zorg voor kinderen met specifieke behoeften </w:t>
      </w:r>
    </w:p>
    <w:p w14:paraId="0000002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89" w:firstLine="0"/>
        <w:rPr>
          <w:color w:val="000000"/>
          <w:sz w:val="18"/>
          <w:szCs w:val="18"/>
        </w:rPr>
      </w:pPr>
      <w:r>
        <w:rPr>
          <w:color w:val="000000"/>
          <w:sz w:val="18"/>
          <w:szCs w:val="18"/>
          <w:rtl w:val="0"/>
        </w:rPr>
        <w:t xml:space="preserve">4.4 Procedure vertrek leerling naar een andere school </w:t>
      </w:r>
    </w:p>
    <w:p w14:paraId="00000028">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color w:val="000000"/>
          <w:sz w:val="18"/>
          <w:szCs w:val="18"/>
        </w:rPr>
      </w:pPr>
      <w:r>
        <w:rPr>
          <w:color w:val="000000"/>
          <w:sz w:val="18"/>
          <w:szCs w:val="18"/>
          <w:rtl w:val="0"/>
        </w:rPr>
        <w:t xml:space="preserve">5 Het onderwijsteam </w:t>
      </w:r>
    </w:p>
    <w:p w14:paraId="0000002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sz w:val="18"/>
          <w:szCs w:val="18"/>
        </w:rPr>
      </w:pPr>
    </w:p>
    <w:p w14:paraId="0000002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5.1 De leerkrachten en onderwijsassistenten </w:t>
      </w:r>
    </w:p>
    <w:p w14:paraId="0000002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5.2 Wijze van vervanging bij ziekte, (studie)verlof of scholing </w:t>
      </w:r>
    </w:p>
    <w:p w14:paraId="0000002C">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5.3 Scholing van onderwijspersoneel </w:t>
      </w:r>
    </w:p>
    <w:p w14:paraId="0000002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color w:val="000000"/>
          <w:sz w:val="18"/>
          <w:szCs w:val="18"/>
        </w:rPr>
      </w:pPr>
      <w:r>
        <w:rPr>
          <w:color w:val="000000"/>
          <w:sz w:val="18"/>
          <w:szCs w:val="18"/>
          <w:rtl w:val="0"/>
        </w:rPr>
        <w:t xml:space="preserve">6 De ouders </w:t>
      </w:r>
    </w:p>
    <w:p w14:paraId="0000002E">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5" w:firstLine="0"/>
        <w:rPr>
          <w:sz w:val="18"/>
          <w:szCs w:val="18"/>
        </w:rPr>
      </w:pPr>
    </w:p>
    <w:p w14:paraId="0000002F">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5" w:firstLine="0"/>
        <w:rPr>
          <w:color w:val="000000"/>
          <w:sz w:val="18"/>
          <w:szCs w:val="18"/>
        </w:rPr>
      </w:pPr>
      <w:r>
        <w:rPr>
          <w:color w:val="000000"/>
          <w:sz w:val="18"/>
          <w:szCs w:val="18"/>
          <w:rtl w:val="0"/>
        </w:rPr>
        <w:t xml:space="preserve">6.1 Belang van ouderbetrokkenheid </w:t>
      </w:r>
    </w:p>
    <w:p w14:paraId="00000030">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5" w:firstLine="0"/>
        <w:rPr>
          <w:color w:val="000000"/>
          <w:sz w:val="18"/>
          <w:szCs w:val="18"/>
        </w:rPr>
      </w:pPr>
      <w:r>
        <w:rPr>
          <w:color w:val="000000"/>
          <w:sz w:val="18"/>
          <w:szCs w:val="18"/>
          <w:rtl w:val="0"/>
        </w:rPr>
        <w:t xml:space="preserve">6.2 Ouderparticipatie </w:t>
      </w:r>
    </w:p>
    <w:p w14:paraId="0000003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5" w:firstLine="0"/>
        <w:rPr>
          <w:color w:val="000000"/>
          <w:sz w:val="18"/>
          <w:szCs w:val="18"/>
        </w:rPr>
      </w:pPr>
      <w:r>
        <w:rPr>
          <w:color w:val="000000"/>
          <w:sz w:val="18"/>
          <w:szCs w:val="18"/>
          <w:rtl w:val="0"/>
        </w:rPr>
        <w:t xml:space="preserve">6.3 Klachtenregeling </w:t>
      </w:r>
    </w:p>
    <w:p w14:paraId="0000003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5" w:firstLine="0"/>
        <w:rPr>
          <w:color w:val="000000"/>
          <w:sz w:val="18"/>
          <w:szCs w:val="18"/>
        </w:rPr>
      </w:pPr>
      <w:r>
        <w:rPr>
          <w:color w:val="000000"/>
          <w:sz w:val="18"/>
          <w:szCs w:val="18"/>
          <w:rtl w:val="0"/>
        </w:rPr>
        <w:t xml:space="preserve">6.4 Inspraak </w:t>
      </w:r>
    </w:p>
    <w:p w14:paraId="00000033">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sz w:val="18"/>
          <w:szCs w:val="18"/>
        </w:rPr>
      </w:pPr>
      <w:r>
        <w:rPr>
          <w:color w:val="000000"/>
          <w:sz w:val="18"/>
          <w:szCs w:val="18"/>
          <w:rtl w:val="0"/>
        </w:rPr>
        <w:t xml:space="preserve">7 De kwaliteit van het onderwijs </w:t>
      </w:r>
    </w:p>
    <w:p w14:paraId="00000034">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rPr>
          <w:color w:val="000000"/>
          <w:sz w:val="18"/>
          <w:szCs w:val="18"/>
        </w:rPr>
      </w:pPr>
      <w:r>
        <w:rPr>
          <w:sz w:val="18"/>
          <w:szCs w:val="18"/>
          <w:rtl w:val="0"/>
        </w:rPr>
        <w:t xml:space="preserve">   </w:t>
      </w:r>
      <w:r>
        <w:rPr>
          <w:color w:val="000000"/>
          <w:sz w:val="18"/>
          <w:szCs w:val="18"/>
          <w:rtl w:val="0"/>
        </w:rPr>
        <w:t xml:space="preserve">8 Praktische zaken </w:t>
      </w:r>
    </w:p>
    <w:p w14:paraId="00000035">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8.1 Schooltijden </w:t>
      </w:r>
    </w:p>
    <w:p w14:paraId="0000003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8.2 Vakantierooster </w:t>
      </w:r>
    </w:p>
    <w:p w14:paraId="0000003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8.3 Schoolgeld </w:t>
      </w:r>
    </w:p>
    <w:p w14:paraId="0000003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color w:val="000000"/>
          <w:sz w:val="18"/>
          <w:szCs w:val="18"/>
        </w:rPr>
      </w:pPr>
      <w:r>
        <w:rPr>
          <w:color w:val="000000"/>
          <w:sz w:val="18"/>
          <w:szCs w:val="18"/>
          <w:rtl w:val="0"/>
        </w:rPr>
        <w:t xml:space="preserve">8.4 Schoolverzekering voor leerlingen </w:t>
      </w:r>
    </w:p>
    <w:p w14:paraId="0000003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6" w:firstLine="0"/>
        <w:rPr>
          <w:sz w:val="18"/>
          <w:szCs w:val="18"/>
        </w:rPr>
      </w:pPr>
      <w:r>
        <w:rPr>
          <w:color w:val="000000"/>
          <w:sz w:val="18"/>
          <w:szCs w:val="18"/>
          <w:rtl w:val="0"/>
        </w:rPr>
        <w:t xml:space="preserve">8.5 Sponsoring </w:t>
      </w:r>
    </w:p>
    <w:p w14:paraId="0000003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rPr>
          <w:sz w:val="18"/>
          <w:szCs w:val="18"/>
        </w:rPr>
      </w:pPr>
      <w:r>
        <w:rPr>
          <w:sz w:val="18"/>
          <w:szCs w:val="18"/>
          <w:rtl w:val="0"/>
        </w:rPr>
        <w:t xml:space="preserve">   </w:t>
      </w:r>
    </w:p>
    <w:p w14:paraId="0000003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rPr>
          <w:sz w:val="18"/>
          <w:szCs w:val="18"/>
        </w:rPr>
      </w:pPr>
    </w:p>
    <w:p w14:paraId="0000003C">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firstLine="163"/>
        <w:rPr>
          <w:color w:val="000000"/>
          <w:sz w:val="18"/>
          <w:szCs w:val="18"/>
        </w:rPr>
      </w:pPr>
      <w:r>
        <w:rPr>
          <w:sz w:val="18"/>
          <w:szCs w:val="18"/>
          <w:rtl w:val="0"/>
        </w:rPr>
        <w:t>B</w:t>
      </w:r>
      <w:r>
        <w:rPr>
          <w:color w:val="000000"/>
          <w:sz w:val="18"/>
          <w:szCs w:val="18"/>
          <w:rtl w:val="0"/>
        </w:rPr>
        <w:t xml:space="preserve">ijlage 1 Namen en adressen </w:t>
      </w:r>
    </w:p>
    <w:p w14:paraId="0000003D">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firstLine="163"/>
        <w:rPr>
          <w:color w:val="000000"/>
          <w:sz w:val="18"/>
          <w:szCs w:val="18"/>
        </w:rPr>
      </w:pPr>
      <w:r>
        <w:rPr>
          <w:color w:val="000000"/>
          <w:sz w:val="18"/>
          <w:szCs w:val="18"/>
          <w:rtl w:val="0"/>
        </w:rPr>
        <w:t xml:space="preserve">Bijlage 2 De wet op het Primair Onderwijs </w:t>
      </w:r>
    </w:p>
    <w:p w14:paraId="0000003E">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Bijlage 3 Kalender schooljaar 2025 </w:t>
      </w:r>
    </w:p>
    <w:p w14:paraId="0000003F">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Bijlage 4 Financiële verantwoording over het schooljaar 202</w:t>
      </w:r>
      <w:r>
        <w:rPr>
          <w:sz w:val="18"/>
          <w:szCs w:val="18"/>
          <w:rtl w:val="0"/>
        </w:rPr>
        <w:t>4</w:t>
      </w:r>
    </w:p>
    <w:p w14:paraId="00000040">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right="2161" w:firstLine="0"/>
        <w:rPr>
          <w:sz w:val="18"/>
          <w:szCs w:val="18"/>
        </w:rPr>
      </w:pPr>
      <w:r>
        <w:rPr>
          <w:color w:val="000000"/>
          <w:sz w:val="18"/>
          <w:szCs w:val="18"/>
          <w:rtl w:val="0"/>
        </w:rPr>
        <w:t xml:space="preserve">Bijlage 5 Financiële </w:t>
      </w:r>
      <w:r>
        <w:rPr>
          <w:sz w:val="18"/>
          <w:szCs w:val="18"/>
          <w:rtl w:val="0"/>
        </w:rPr>
        <w:t>raming</w:t>
      </w:r>
      <w:r>
        <w:rPr>
          <w:color w:val="000000"/>
          <w:sz w:val="18"/>
          <w:szCs w:val="18"/>
          <w:rtl w:val="0"/>
        </w:rPr>
        <w:t xml:space="preserve"> over de </w:t>
      </w:r>
      <w:r>
        <w:rPr>
          <w:sz w:val="18"/>
          <w:szCs w:val="18"/>
          <w:rtl w:val="0"/>
        </w:rPr>
        <w:t>tweede</w:t>
      </w:r>
      <w:r>
        <w:rPr>
          <w:color w:val="000000"/>
          <w:sz w:val="18"/>
          <w:szCs w:val="18"/>
          <w:rtl w:val="0"/>
        </w:rPr>
        <w:t xml:space="preserve"> helft van het schooljaar 202</w:t>
      </w:r>
      <w:r>
        <w:rPr>
          <w:sz w:val="18"/>
          <w:szCs w:val="18"/>
          <w:rtl w:val="0"/>
        </w:rPr>
        <w:t>5</w:t>
      </w:r>
    </w:p>
    <w:p w14:paraId="0000004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right="2161" w:firstLine="0"/>
        <w:rPr>
          <w:sz w:val="18"/>
          <w:szCs w:val="18"/>
        </w:rPr>
      </w:pPr>
      <w:r>
        <w:rPr>
          <w:sz w:val="18"/>
          <w:szCs w:val="18"/>
          <w:rtl w:val="0"/>
        </w:rPr>
        <w:t>Bijlage 6 Financiële raming over de tweede helft van het schooljaar 2025</w:t>
      </w:r>
    </w:p>
    <w:p w14:paraId="0000004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right="2161" w:firstLine="163"/>
        <w:rPr>
          <w:color w:val="000000"/>
          <w:sz w:val="18"/>
          <w:szCs w:val="18"/>
        </w:rPr>
      </w:pPr>
      <w:r>
        <w:rPr>
          <w:color w:val="000000"/>
          <w:sz w:val="18"/>
          <w:szCs w:val="18"/>
          <w:rtl w:val="0"/>
        </w:rPr>
        <w:t xml:space="preserve">Bijlage </w:t>
      </w:r>
      <w:r>
        <w:rPr>
          <w:sz w:val="18"/>
          <w:szCs w:val="18"/>
          <w:rtl w:val="0"/>
        </w:rPr>
        <w:t>7</w:t>
      </w:r>
      <w:r>
        <w:rPr>
          <w:color w:val="000000"/>
          <w:sz w:val="18"/>
          <w:szCs w:val="18"/>
          <w:rtl w:val="0"/>
        </w:rPr>
        <w:t xml:space="preserve"> Tips voor ouders </w:t>
      </w:r>
    </w:p>
    <w:p w14:paraId="00000043">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sz w:val="20"/>
          <w:szCs w:val="20"/>
        </w:rPr>
      </w:pPr>
      <w:r>
        <w:rPr>
          <w:sz w:val="20"/>
          <w:szCs w:val="20"/>
          <w:rtl w:val="0"/>
        </w:rPr>
        <w:t xml:space="preserve">                                                                     </w:t>
      </w:r>
    </w:p>
    <w:p w14:paraId="00000044">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sz w:val="18"/>
          <w:szCs w:val="18"/>
        </w:rPr>
      </w:pPr>
    </w:p>
    <w:p w14:paraId="00000045">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sz w:val="18"/>
          <w:szCs w:val="18"/>
        </w:rPr>
      </w:pPr>
    </w:p>
    <w:p w14:paraId="00000046">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sz w:val="18"/>
          <w:szCs w:val="18"/>
        </w:rPr>
      </w:pPr>
    </w:p>
    <w:p w14:paraId="00000047">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sz w:val="18"/>
          <w:szCs w:val="18"/>
        </w:rPr>
      </w:pPr>
    </w:p>
    <w:p w14:paraId="00000048">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rtl w:val="0"/>
        </w:rPr>
        <w:t xml:space="preserve">Een woord vooraf </w:t>
      </w:r>
    </w:p>
    <w:p w14:paraId="00000049">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5760" w:right="9" w:firstLine="720"/>
        <w:rPr>
          <w:color w:val="000000"/>
          <w:sz w:val="18"/>
          <w:szCs w:val="18"/>
        </w:rPr>
      </w:pPr>
      <w:r>
        <w:rPr>
          <w:color w:val="000000"/>
          <w:sz w:val="18"/>
          <w:szCs w:val="18"/>
          <w:rtl w:val="0"/>
        </w:rPr>
        <w:t>Buenos Aires, (</w:t>
      </w:r>
      <w:r>
        <w:rPr>
          <w:sz w:val="18"/>
          <w:szCs w:val="18"/>
          <w:rtl w:val="0"/>
        </w:rPr>
        <w:t>oktober</w:t>
      </w:r>
      <w:r>
        <w:rPr>
          <w:color w:val="000000"/>
          <w:sz w:val="18"/>
          <w:szCs w:val="18"/>
          <w:rtl w:val="0"/>
        </w:rPr>
        <w:t xml:space="preserve"> 2025</w:t>
      </w:r>
      <w:r>
        <w:rPr>
          <w:sz w:val="18"/>
          <w:szCs w:val="18"/>
          <w:rtl w:val="0"/>
        </w:rPr>
        <w:t>)</w:t>
      </w:r>
      <w:r>
        <w:rPr>
          <w:color w:val="000000"/>
          <w:sz w:val="18"/>
          <w:szCs w:val="18"/>
          <w:rtl w:val="0"/>
        </w:rPr>
        <w:t xml:space="preserve"> </w:t>
      </w:r>
    </w:p>
    <w:p w14:paraId="0000004A">
      <w:pPr>
        <w:widowControl w:val="0"/>
        <w:pBdr>
          <w:top w:val="none" w:color="auto" w:sz="0" w:space="0"/>
          <w:left w:val="none" w:color="auto" w:sz="0" w:space="0"/>
          <w:bottom w:val="none" w:color="auto" w:sz="0" w:space="0"/>
          <w:right w:val="none" w:color="auto" w:sz="0" w:space="0"/>
          <w:between w:val="none" w:color="auto" w:sz="0" w:space="0"/>
        </w:pBdr>
        <w:spacing w:before="133" w:line="240" w:lineRule="auto"/>
        <w:ind w:left="163" w:firstLine="0"/>
        <w:rPr>
          <w:color w:val="000000"/>
          <w:sz w:val="18"/>
          <w:szCs w:val="18"/>
        </w:rPr>
      </w:pPr>
      <w:r>
        <w:rPr>
          <w:color w:val="000000"/>
          <w:sz w:val="18"/>
          <w:szCs w:val="18"/>
          <w:rtl w:val="0"/>
        </w:rPr>
        <w:t xml:space="preserve">Beste ouders, </w:t>
      </w:r>
    </w:p>
    <w:p w14:paraId="0000004B">
      <w:pPr>
        <w:widowControl w:val="0"/>
        <w:pBdr>
          <w:top w:val="none" w:color="auto" w:sz="0" w:space="0"/>
          <w:left w:val="none" w:color="auto" w:sz="0" w:space="0"/>
          <w:bottom w:val="none" w:color="auto" w:sz="0" w:space="0"/>
          <w:right w:val="none" w:color="auto" w:sz="0" w:space="0"/>
          <w:between w:val="none" w:color="auto" w:sz="0" w:space="0"/>
        </w:pBdr>
        <w:spacing w:before="523" w:line="245" w:lineRule="auto"/>
        <w:ind w:left="1444" w:right="576" w:hanging="5"/>
        <w:rPr>
          <w:color w:val="000000"/>
          <w:sz w:val="18"/>
          <w:szCs w:val="18"/>
        </w:rPr>
      </w:pPr>
      <w:r>
        <w:rPr>
          <w:color w:val="000000"/>
          <w:sz w:val="18"/>
          <w:szCs w:val="18"/>
          <w:rtl w:val="0"/>
        </w:rPr>
        <w:t xml:space="preserve">Voor u ligt de schoolgids van 2025. Deze schoolgids is bedoeld om u te informeren over het onderwijs op onze school. De schoolgids geeft aan waar ons </w:t>
      </w:r>
    </w:p>
    <w:p w14:paraId="0000004C">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51" w:right="601" w:firstLine="0"/>
        <w:rPr>
          <w:color w:val="000000"/>
          <w:sz w:val="18"/>
          <w:szCs w:val="18"/>
        </w:rPr>
      </w:pPr>
      <w:r>
        <w:rPr>
          <w:color w:val="000000"/>
          <w:sz w:val="18"/>
          <w:szCs w:val="18"/>
          <w:rtl w:val="0"/>
        </w:rPr>
        <w:t xml:space="preserve">NTC-onderwijs voor staat en wat u van ons mag verwachten. Daarnaast is het een praktische gids met informatie over de organisatie van het onderwijs en de </w:t>
      </w:r>
    </w:p>
    <w:p w14:paraId="0000004D">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54" w:right="743" w:hanging="10"/>
        <w:rPr>
          <w:color w:val="000000"/>
          <w:sz w:val="18"/>
          <w:szCs w:val="18"/>
        </w:rPr>
      </w:pPr>
      <w:r>
        <w:rPr>
          <w:color w:val="000000"/>
          <w:sz w:val="18"/>
          <w:szCs w:val="18"/>
          <w:rtl w:val="0"/>
        </w:rPr>
        <w:t>dagelijkse gang van zaken. De schoolgids sluit aan bij het schoolplan 2023-27. Het schoolplan kunt u opvragen</w:t>
      </w:r>
      <w:r>
        <w:rPr>
          <w:sz w:val="18"/>
          <w:szCs w:val="18"/>
          <w:rtl w:val="0"/>
        </w:rPr>
        <w:t xml:space="preserve"> bij het schoolbestuur. </w:t>
      </w:r>
    </w:p>
    <w:p w14:paraId="0000004E">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44" w:right="1126" w:hanging="5"/>
        <w:rPr>
          <w:color w:val="000000"/>
          <w:sz w:val="18"/>
          <w:szCs w:val="18"/>
        </w:rPr>
      </w:pPr>
      <w:r>
        <w:rPr>
          <w:color w:val="000000"/>
          <w:sz w:val="18"/>
          <w:szCs w:val="18"/>
          <w:rtl w:val="0"/>
        </w:rPr>
        <w:t xml:space="preserve">Achterin de schoolgids vindt u de jaarkalender met alle lesdagen en culturele dagen. Tevens vindt u hier de contactgegevens van het onderwijsteam en het bestuur. </w:t>
      </w:r>
    </w:p>
    <w:p w14:paraId="0000004F">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44" w:right="1126" w:hanging="5"/>
        <w:rPr>
          <w:color w:val="000000"/>
          <w:sz w:val="18"/>
          <w:szCs w:val="18"/>
        </w:rPr>
      </w:pPr>
    </w:p>
    <w:p w14:paraId="00000050">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44" w:right="1126" w:hanging="5"/>
        <w:rPr>
          <w:color w:val="000000"/>
          <w:sz w:val="18"/>
          <w:szCs w:val="18"/>
        </w:rPr>
      </w:pPr>
      <w:r>
        <w:rPr>
          <w:color w:val="000000"/>
          <w:sz w:val="18"/>
          <w:szCs w:val="18"/>
          <w:rtl w:val="0"/>
        </w:rPr>
        <w:t xml:space="preserve">In November 2024 is de school voor het laatst bezocht door de Nederlandse </w:t>
      </w:r>
    </w:p>
    <w:p w14:paraId="00000051">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39" w:right="732" w:firstLine="4"/>
        <w:rPr>
          <w:color w:val="000000"/>
          <w:sz w:val="18"/>
          <w:szCs w:val="18"/>
        </w:rPr>
      </w:pPr>
      <w:r>
        <w:rPr>
          <w:color w:val="000000"/>
          <w:sz w:val="18"/>
          <w:szCs w:val="18"/>
          <w:rtl w:val="0"/>
        </w:rPr>
        <w:t xml:space="preserve">onderwijsinspectie. Uit het kwaliteitsonderzoek kwam naar voren dat NTC de Knikkers op alle punten voldoende scoort en het pedagogisch klimaat als goed wordt gewaardeerd. Een samenvatting van het kwaliteitsonderzoek is te vinden in hoofdstuk 7. Het volledige inspectierapport staat ook op de website </w:t>
      </w:r>
      <w:r>
        <w:rPr>
          <w:color w:val="0000FF"/>
          <w:sz w:val="18"/>
          <w:szCs w:val="18"/>
          <w:u w:val="single"/>
          <w:rtl w:val="0"/>
        </w:rPr>
        <w:t>deknikkers.wordpress.com</w:t>
      </w:r>
      <w:r>
        <w:rPr>
          <w:color w:val="0000FF"/>
          <w:sz w:val="18"/>
          <w:szCs w:val="18"/>
          <w:rtl w:val="0"/>
        </w:rPr>
        <w:t xml:space="preserve">. </w:t>
      </w:r>
      <w:r>
        <w:rPr>
          <w:color w:val="000000"/>
          <w:sz w:val="18"/>
          <w:szCs w:val="18"/>
          <w:rtl w:val="0"/>
        </w:rPr>
        <w:t>Het eerste semester van het jaar was het laatste semester van leerkracht en onderwijs coördinator Jur bij de Knikkers. Zijn komst en rol binnen de Knikkers was voor 3 semesters gepland, die hij zeer goed vervuld heeft. Zijn kwalitatieve lessen, goede band met zowel leerlingen als ouders en bijkomende voetbal kwaliteiten in de pauzes zullen gemist worden. In augustus is Marieke de Groot ons team komen versterken als onderwijs coördinator en leerkracht, wederom voor 3 semesters. Met haar pabo diploma en ervaring voor de klas en additionele master pedagogische wetenschappen is zij een waardig opvolger van Jur. We zijn met de school, zoals al vermeld in het in maart dit jaar uitgekomen rapport van de Nederlandse onderwijsinspectie in rustiger vaarwater gekomen, na de forse impact van de pandemie in Argentinië en ook op onze school en bijkomend verloop in leerkrachten en leerlingen. Met een enthousiast team, methodes die werken en een tweede jaar Diatoets, hebben we in 2025 weer kwalitatieve lessen kunnen geven, uitdagend huiswerk op maat aangeboden, interessante en gezellige culturele dagen gehad en zijn de leerlingen en hun sterktes en uitdagingen goed in beeld. Ook hebben we dit jaar de deuren geopend voor kinderen die niet voldoen aan ons toelatingsbeleid (R3 niveau) en/of logistiek gezien onze school niet wekelijks kunnen bezoeken. Elke laatste donderdag van de maand is deze nieuwe Stuiter groep welkom en sluiten we de maand af met een extra grote groep kinderen, die apart les hebben, maar samen met de reguliere Knikkers kinderen de pauze doorbrengen. Erg leuk!</w:t>
      </w:r>
    </w:p>
    <w:p w14:paraId="00000052">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39" w:right="732" w:firstLine="4"/>
        <w:rPr>
          <w:sz w:val="18"/>
          <w:szCs w:val="18"/>
        </w:rPr>
      </w:pPr>
    </w:p>
    <w:p w14:paraId="00000053">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39" w:right="732" w:firstLine="4"/>
        <w:rPr>
          <w:sz w:val="18"/>
          <w:szCs w:val="18"/>
        </w:rPr>
      </w:pPr>
      <w:r>
        <w:rPr>
          <w:color w:val="000000"/>
          <w:sz w:val="18"/>
          <w:szCs w:val="18"/>
          <w:rtl w:val="0"/>
        </w:rPr>
        <w:t>Wij wensen alle kinderen van de Knikkers weer</w:t>
      </w:r>
      <w:r>
        <w:rPr>
          <w:sz w:val="18"/>
          <w:szCs w:val="18"/>
          <w:rtl w:val="0"/>
        </w:rPr>
        <w:t xml:space="preserve"> een heel mooi jaar toe!</w:t>
      </w:r>
    </w:p>
    <w:p w14:paraId="00000054">
      <w:pPr>
        <w:widowControl w:val="0"/>
        <w:pBdr>
          <w:top w:val="none" w:color="auto" w:sz="0" w:space="0"/>
          <w:left w:val="none" w:color="auto" w:sz="0" w:space="0"/>
          <w:bottom w:val="none" w:color="auto" w:sz="0" w:space="0"/>
          <w:right w:val="none" w:color="auto" w:sz="0" w:space="0"/>
          <w:between w:val="none" w:color="auto" w:sz="0" w:space="0"/>
        </w:pBdr>
        <w:spacing w:before="283" w:line="736" w:lineRule="auto"/>
        <w:ind w:left="1454" w:right="1123" w:hanging="14"/>
        <w:rPr>
          <w:sz w:val="18"/>
          <w:szCs w:val="18"/>
        </w:rPr>
      </w:pPr>
    </w:p>
    <w:p w14:paraId="00000055">
      <w:pPr>
        <w:widowControl w:val="0"/>
        <w:pBdr>
          <w:top w:val="none" w:color="auto" w:sz="0" w:space="0"/>
          <w:left w:val="none" w:color="auto" w:sz="0" w:space="0"/>
          <w:bottom w:val="none" w:color="auto" w:sz="0" w:space="0"/>
          <w:right w:val="none" w:color="auto" w:sz="0" w:space="0"/>
          <w:between w:val="none" w:color="auto" w:sz="0" w:space="0"/>
        </w:pBdr>
        <w:spacing w:before="283" w:line="736" w:lineRule="auto"/>
        <w:ind w:left="720" w:right="1123" w:firstLine="720"/>
        <w:rPr>
          <w:color w:val="000000"/>
          <w:sz w:val="18"/>
          <w:szCs w:val="18"/>
        </w:rPr>
      </w:pPr>
      <w:r>
        <w:rPr>
          <w:color w:val="000000"/>
          <w:sz w:val="18"/>
          <w:szCs w:val="18"/>
          <w:rtl w:val="0"/>
        </w:rPr>
        <w:t>Het bestuur en het onderwijsteam van NTC “</w:t>
      </w:r>
      <w:r>
        <w:rPr>
          <w:sz w:val="18"/>
          <w:szCs w:val="18"/>
          <w:rtl w:val="0"/>
        </w:rPr>
        <w:t>D</w:t>
      </w:r>
      <w:r>
        <w:rPr>
          <w:color w:val="000000"/>
          <w:sz w:val="18"/>
          <w:szCs w:val="18"/>
          <w:rtl w:val="0"/>
        </w:rPr>
        <w:t xml:space="preserve">e Knikkers”. </w:t>
      </w:r>
    </w:p>
    <w:p w14:paraId="00000056">
      <w:pPr>
        <w:widowControl w:val="0"/>
        <w:pBdr>
          <w:top w:val="none" w:color="auto" w:sz="0" w:space="0"/>
          <w:left w:val="none" w:color="auto" w:sz="0" w:space="0"/>
          <w:bottom w:val="none" w:color="auto" w:sz="0" w:space="0"/>
          <w:right w:val="none" w:color="auto" w:sz="0" w:space="0"/>
          <w:between w:val="none" w:color="auto" w:sz="0" w:space="0"/>
        </w:pBdr>
        <w:spacing w:before="5758" w:line="240" w:lineRule="auto"/>
        <w:ind w:right="47"/>
        <w:rPr>
          <w:b/>
          <w:color w:val="000000"/>
          <w:sz w:val="18"/>
          <w:szCs w:val="18"/>
        </w:rPr>
      </w:pPr>
    </w:p>
    <w:p w14:paraId="00000057">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color w:val="000000"/>
          <w:sz w:val="18"/>
          <w:szCs w:val="18"/>
        </w:rPr>
      </w:pPr>
    </w:p>
    <w:p w14:paraId="00000058">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color w:val="000000"/>
          <w:sz w:val="18"/>
          <w:szCs w:val="18"/>
        </w:rPr>
      </w:pPr>
    </w:p>
    <w:p w14:paraId="00000059">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4" w:firstLine="0"/>
        <w:rPr>
          <w:b/>
          <w:color w:val="000000"/>
          <w:sz w:val="18"/>
          <w:szCs w:val="18"/>
        </w:rPr>
      </w:pPr>
      <w:r>
        <w:rPr>
          <w:b/>
          <w:color w:val="000000"/>
          <w:sz w:val="18"/>
          <w:szCs w:val="18"/>
          <w:rtl w:val="0"/>
        </w:rPr>
        <w:t xml:space="preserve">1 De school </w:t>
      </w:r>
    </w:p>
    <w:p w14:paraId="0000005A">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64" w:firstLine="0"/>
        <w:rPr>
          <w:b/>
          <w:color w:val="000000"/>
          <w:sz w:val="18"/>
          <w:szCs w:val="18"/>
        </w:rPr>
      </w:pPr>
      <w:r>
        <w:rPr>
          <w:b/>
          <w:color w:val="000000"/>
          <w:sz w:val="18"/>
          <w:szCs w:val="18"/>
          <w:rtl w:val="0"/>
        </w:rPr>
        <w:t xml:space="preserve">1.1 Naam </w:t>
      </w:r>
    </w:p>
    <w:p w14:paraId="0000005B">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4" w:firstLine="0"/>
        <w:rPr>
          <w:b/>
          <w:color w:val="000000"/>
          <w:sz w:val="18"/>
          <w:szCs w:val="18"/>
        </w:rPr>
      </w:pPr>
      <w:r>
        <w:rPr>
          <w:b/>
          <w:color w:val="000000"/>
          <w:sz w:val="18"/>
          <w:szCs w:val="18"/>
          <w:rtl w:val="0"/>
        </w:rPr>
        <w:t xml:space="preserve">Stichting “De Knikkers”. </w:t>
      </w:r>
    </w:p>
    <w:p w14:paraId="0000005C">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rPr>
          <w:b/>
          <w:color w:val="000000"/>
          <w:sz w:val="18"/>
          <w:szCs w:val="18"/>
        </w:rPr>
      </w:pPr>
      <w:r>
        <w:rPr>
          <w:b/>
          <w:color w:val="000000"/>
          <w:sz w:val="18"/>
          <w:szCs w:val="18"/>
          <w:rtl w:val="0"/>
        </w:rPr>
        <w:t xml:space="preserve">1.2 Ontstaansgeschiedenis </w:t>
      </w:r>
    </w:p>
    <w:p w14:paraId="0000005D">
      <w:pPr>
        <w:widowControl w:val="0"/>
        <w:spacing w:before="140" w:line="300" w:lineRule="auto"/>
        <w:ind w:left="132" w:right="248" w:firstLine="0"/>
        <w:rPr>
          <w:b/>
          <w:sz w:val="18"/>
          <w:szCs w:val="18"/>
        </w:rPr>
      </w:pPr>
      <w:r>
        <w:rPr>
          <w:b/>
          <w:sz w:val="18"/>
          <w:szCs w:val="18"/>
          <w:rtl w:val="0"/>
        </w:rPr>
        <w:t xml:space="preserve">In 2004 hebben drie enthousiaste Nederlandse moeders het initiatief genomen om een Nederlandse school op te richten. Zij ervoeren het niet-bestaan van een Nederlandse school in Buenos Aires als een gemis. Na ruim 2 jaar kreeg de school haar bestaansrecht. De laatste weken van 2006 gingen de schooldeuren voor het eerst open. Het schooljaar 2007 was het eerste volledige schooljaar. Tot 2014 bood de school alleen primair onderwijs aan. Vanaf 2015 biedt de Knikkers ook VO-onderwijs aan. Op dit moment zijn er 30 leerlingen ingeschreven op de school. De populatie bestaat uit r 1- 2 -leerlingen. </w:t>
      </w:r>
    </w:p>
    <w:p w14:paraId="0000005E">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rPr>
          <w:b/>
          <w:color w:val="000000"/>
          <w:sz w:val="18"/>
          <w:szCs w:val="18"/>
        </w:rPr>
      </w:pPr>
      <w:r>
        <w:rPr>
          <w:b/>
          <w:color w:val="000000"/>
          <w:sz w:val="18"/>
          <w:szCs w:val="18"/>
          <w:rtl w:val="0"/>
        </w:rPr>
        <w:t xml:space="preserve">1.3 Het bestuur en de organisatie </w:t>
      </w:r>
    </w:p>
    <w:p w14:paraId="0000005F">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69" w:firstLine="16"/>
        <w:rPr>
          <w:b/>
          <w:color w:val="000000"/>
          <w:sz w:val="18"/>
          <w:szCs w:val="18"/>
        </w:rPr>
      </w:pPr>
      <w:r>
        <w:rPr>
          <w:b/>
          <w:color w:val="000000"/>
          <w:sz w:val="18"/>
          <w:szCs w:val="18"/>
          <w:rtl w:val="0"/>
        </w:rPr>
        <w:t xml:space="preserve">Het bestuur van de school bestaat uit de voorzitter, de secretaris en de penningmeester. Het onderwijsteam bestaat uit de onderwijscoördinator/leerkracht, een leerkracht en een onderwijsassistent op locatie voor de groepen in het Basisonderwijs.  Er is ook een leraar voor het VO onderwijs. Voor de hogere groepen van het Basisonderwijs en het Voortgezet Onderwijs wordt hybride lesaanbod verzorgd. </w:t>
      </w:r>
    </w:p>
    <w:p w14:paraId="00000060">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3" w:right="95" w:firstLine="10"/>
        <w:rPr>
          <w:b/>
          <w:color w:val="000000"/>
          <w:sz w:val="18"/>
          <w:szCs w:val="18"/>
        </w:rPr>
      </w:pPr>
      <w:r>
        <w:rPr>
          <w:b/>
          <w:color w:val="000000"/>
          <w:sz w:val="18"/>
          <w:szCs w:val="18"/>
          <w:rtl w:val="0"/>
        </w:rPr>
        <w:t xml:space="preserve">De school is een stichting en staat onder deze bestaansvorm in Nederland geregistreerd. De school beschikt bovendien over een UBO registratie en is aangesloten als erkend NTC-onderwijs bij de stichting Nederlands Onderwijs Buitenland (NOB). De NOB biedt onderwijsinhoudelijk steun en wordt door de Nederlandse overheid via het Ministerie van OCW gefinancierd. Haar taak is het Nederlandse onderwijs in het buitenland te stimuleren en te begeleiden. </w:t>
      </w:r>
    </w:p>
    <w:p w14:paraId="00000061">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192" w:firstLine="9"/>
        <w:rPr>
          <w:b/>
          <w:sz w:val="18"/>
          <w:szCs w:val="18"/>
        </w:rPr>
      </w:pPr>
      <w:r>
        <w:rPr>
          <w:b/>
          <w:color w:val="000000"/>
          <w:sz w:val="18"/>
          <w:szCs w:val="18"/>
          <w:rtl w:val="0"/>
        </w:rPr>
        <w:t xml:space="preserve">Het algemeen schooltoezicht is in handen van de Nederlandse Inspectie. Eenmaal in de vier jaar zal de Nederlandse onderwijsinspectie zich buigen over de kwaliteit van het NTC-onderwijs. De laatste keer is </w:t>
      </w:r>
      <w:r>
        <w:rPr>
          <w:b/>
          <w:sz w:val="18"/>
          <w:szCs w:val="18"/>
          <w:rtl w:val="0"/>
        </w:rPr>
        <w:t>dit gebeurd in</w:t>
      </w:r>
      <w:r>
        <w:rPr>
          <w:b/>
          <w:color w:val="000000"/>
          <w:sz w:val="18"/>
          <w:szCs w:val="18"/>
          <w:rtl w:val="0"/>
        </w:rPr>
        <w:t xml:space="preserve"> oktober 2019</w:t>
      </w:r>
      <w:r>
        <w:rPr>
          <w:b/>
          <w:sz w:val="18"/>
          <w:szCs w:val="18"/>
          <w:rtl w:val="0"/>
        </w:rPr>
        <w:t xml:space="preserve">. In de tweede helft van 2024 zal de inspectie een volgend bezoek afleggen. </w:t>
      </w:r>
    </w:p>
    <w:p w14:paraId="00000062">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192" w:firstLine="9"/>
        <w:rPr>
          <w:b/>
          <w:sz w:val="18"/>
          <w:szCs w:val="18"/>
        </w:rPr>
      </w:pPr>
    </w:p>
    <w:p w14:paraId="00000063">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192" w:firstLine="9"/>
        <w:rPr>
          <w:b/>
          <w:color w:val="000000"/>
          <w:sz w:val="18"/>
          <w:szCs w:val="18"/>
        </w:rPr>
      </w:pPr>
      <w:r>
        <w:rPr>
          <w:b/>
          <w:color w:val="000000"/>
          <w:sz w:val="18"/>
          <w:szCs w:val="18"/>
          <w:rtl w:val="0"/>
        </w:rPr>
        <w:t xml:space="preserve">1.4 Situering van de leslocatie(s) </w:t>
      </w:r>
    </w:p>
    <w:p w14:paraId="00000064">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9" w:right="1" w:firstLine="17"/>
        <w:rPr>
          <w:b/>
          <w:color w:val="000000"/>
          <w:sz w:val="18"/>
          <w:szCs w:val="18"/>
        </w:rPr>
      </w:pPr>
    </w:p>
    <w:p w14:paraId="00000065">
      <w:pPr>
        <w:widowControl w:val="0"/>
        <w:spacing w:before="139" w:line="300" w:lineRule="auto"/>
        <w:ind w:left="132" w:right="308" w:firstLine="0"/>
        <w:rPr>
          <w:b/>
          <w:sz w:val="18"/>
          <w:szCs w:val="18"/>
        </w:rPr>
      </w:pPr>
      <w:r>
        <w:rPr>
          <w:b/>
          <w:sz w:val="18"/>
          <w:szCs w:val="18"/>
          <w:rtl w:val="0"/>
        </w:rPr>
        <w:t>De lessen worden op locatie gegeven bij het United Community Center in Acassuso, ten noorden van Buenos Aires. Een centrale locatie dicht bij de snelweg en een trein station, met goede bereikbaarheid vanuit het centrum en vanuit de wijken ten noorden van het centrum. Dit is het gebied waar de meeste families van de school wonen. Het UCC is een prachtig centrum, behorend bij en gelegen naast een internationale kerk, die het gebouw ter beschikking stelt aan organisaties die diensten verlenen aan de internationale gemeenschap in Buenos Aires. NTC De Knikkers heeft hier de beschikking over 4 lokalen en een heerlijke tuin voor de pauzes.</w:t>
      </w:r>
    </w:p>
    <w:p w14:paraId="00000066">
      <w:pPr>
        <w:widowControl w:val="0"/>
        <w:pBdr>
          <w:top w:val="none" w:color="auto" w:sz="0" w:space="0"/>
          <w:left w:val="none" w:color="auto" w:sz="0" w:space="0"/>
          <w:bottom w:val="none" w:color="auto" w:sz="0" w:space="0"/>
          <w:right w:val="none" w:color="auto" w:sz="0" w:space="0"/>
          <w:between w:val="none" w:color="auto" w:sz="0" w:space="0"/>
        </w:pBdr>
        <w:spacing w:before="478" w:line="240" w:lineRule="auto"/>
        <w:ind w:right="46"/>
        <w:rPr>
          <w:b/>
          <w:color w:val="000000"/>
          <w:sz w:val="18"/>
          <w:szCs w:val="18"/>
        </w:rPr>
      </w:pPr>
    </w:p>
    <w:p w14:paraId="00000067">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46" w:firstLine="0"/>
        <w:rPr>
          <w:b/>
          <w:color w:val="000000"/>
          <w:sz w:val="18"/>
          <w:szCs w:val="18"/>
        </w:rPr>
      </w:pPr>
      <w:r>
        <w:rPr>
          <w:b/>
          <w:color w:val="000000"/>
          <w:sz w:val="18"/>
          <w:szCs w:val="18"/>
          <w:u w:val="single"/>
          <w:rtl w:val="0"/>
        </w:rPr>
        <w:t xml:space="preserve">Adres </w:t>
      </w:r>
      <w:r>
        <w:rPr>
          <w:b/>
          <w:sz w:val="18"/>
          <w:szCs w:val="18"/>
          <w:u w:val="single"/>
          <w:rtl w:val="0"/>
        </w:rPr>
        <w:t>school</w:t>
      </w:r>
      <w:r>
        <w:rPr>
          <w:b/>
          <w:color w:val="000000"/>
          <w:sz w:val="18"/>
          <w:szCs w:val="18"/>
          <w:u w:val="single"/>
          <w:rtl w:val="0"/>
        </w:rPr>
        <w:t>locatie (donderdag is de vaste dag</w:t>
      </w:r>
      <w:r>
        <w:rPr>
          <w:b/>
          <w:sz w:val="18"/>
          <w:szCs w:val="18"/>
          <w:u w:val="single"/>
          <w:rtl w:val="0"/>
        </w:rPr>
        <w:t xml:space="preserve"> voor PO onderwijs)</w:t>
      </w:r>
      <w:r>
        <w:rPr>
          <w:b/>
          <w:color w:val="000000"/>
          <w:sz w:val="18"/>
          <w:szCs w:val="18"/>
          <w:u w:val="single"/>
          <w:rtl w:val="0"/>
        </w:rPr>
        <w:t>:</w:t>
      </w:r>
      <w:r>
        <w:rPr>
          <w:b/>
          <w:color w:val="000000"/>
          <w:sz w:val="18"/>
          <w:szCs w:val="18"/>
          <w:rtl w:val="0"/>
        </w:rPr>
        <w:t xml:space="preserve"> </w:t>
      </w:r>
    </w:p>
    <w:p w14:paraId="0000006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b/>
          <w:color w:val="000000"/>
          <w:sz w:val="18"/>
          <w:szCs w:val="18"/>
        </w:rPr>
      </w:pPr>
      <w:r>
        <w:rPr>
          <w:b/>
          <w:color w:val="000000"/>
          <w:sz w:val="18"/>
          <w:szCs w:val="18"/>
          <w:rtl w:val="0"/>
        </w:rPr>
        <w:t>United Community Church</w:t>
      </w:r>
    </w:p>
    <w:p w14:paraId="0000006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b/>
          <w:color w:val="000000"/>
          <w:sz w:val="18"/>
          <w:szCs w:val="18"/>
        </w:rPr>
      </w:pPr>
      <w:r>
        <w:rPr>
          <w:b/>
          <w:color w:val="000000"/>
          <w:sz w:val="18"/>
          <w:szCs w:val="18"/>
          <w:rtl w:val="0"/>
        </w:rPr>
        <w:t xml:space="preserve">Avenida Santa Fe 839 </w:t>
      </w:r>
    </w:p>
    <w:p w14:paraId="0000006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7" w:firstLine="0"/>
        <w:rPr>
          <w:b/>
          <w:color w:val="000000"/>
          <w:sz w:val="18"/>
          <w:szCs w:val="18"/>
        </w:rPr>
      </w:pPr>
      <w:r>
        <w:rPr>
          <w:b/>
          <w:color w:val="000000"/>
          <w:sz w:val="18"/>
          <w:szCs w:val="18"/>
          <w:rtl w:val="0"/>
        </w:rPr>
        <w:t xml:space="preserve">Acassuso San Isidro, Provincia de Buenos Aires </w:t>
      </w:r>
    </w:p>
    <w:p w14:paraId="0000006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7" w:firstLine="0"/>
        <w:rPr>
          <w:b/>
          <w:color w:val="000000"/>
          <w:sz w:val="18"/>
          <w:szCs w:val="18"/>
        </w:rPr>
      </w:pPr>
      <w:r>
        <w:rPr>
          <w:b/>
          <w:color w:val="000000"/>
          <w:sz w:val="18"/>
          <w:szCs w:val="18"/>
          <w:rtl w:val="0"/>
        </w:rPr>
        <w:t>(ingang via de straat Catamarca)</w:t>
      </w:r>
    </w:p>
    <w:p w14:paraId="0000006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right="58"/>
        <w:rPr>
          <w:b/>
          <w:color w:val="000000"/>
          <w:sz w:val="18"/>
          <w:szCs w:val="18"/>
        </w:rPr>
      </w:pPr>
      <w:r>
        <w:rPr>
          <w:b/>
          <w:color w:val="000000"/>
          <w:sz w:val="18"/>
          <w:szCs w:val="18"/>
          <w:rtl w:val="0"/>
        </w:rPr>
        <w:t xml:space="preserve">2 Waar de school voor staat </w:t>
      </w:r>
    </w:p>
    <w:p w14:paraId="0000006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2" w:firstLine="0"/>
        <w:rPr>
          <w:b/>
          <w:color w:val="000000"/>
          <w:sz w:val="18"/>
          <w:szCs w:val="18"/>
        </w:rPr>
      </w:pPr>
      <w:r>
        <w:rPr>
          <w:b/>
          <w:color w:val="000000"/>
          <w:sz w:val="18"/>
          <w:szCs w:val="18"/>
          <w:rtl w:val="0"/>
        </w:rPr>
        <w:t xml:space="preserve">2.1 Missie en visie </w:t>
      </w:r>
    </w:p>
    <w:p w14:paraId="0000006E">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rPr>
          <w:b/>
          <w:color w:val="000000"/>
          <w:sz w:val="18"/>
          <w:szCs w:val="18"/>
        </w:rPr>
      </w:pPr>
      <w:r>
        <w:rPr>
          <w:b/>
          <w:color w:val="000000"/>
          <w:sz w:val="18"/>
          <w:szCs w:val="18"/>
          <w:rtl w:val="0"/>
        </w:rPr>
        <w:t xml:space="preserve">Missie </w:t>
      </w:r>
    </w:p>
    <w:p w14:paraId="0000006F">
      <w:pPr>
        <w:widowControl w:val="0"/>
        <w:spacing w:before="139" w:line="300" w:lineRule="auto"/>
        <w:ind w:left="132" w:right="250" w:firstLine="0"/>
        <w:rPr>
          <w:b/>
          <w:sz w:val="18"/>
          <w:szCs w:val="18"/>
        </w:rPr>
      </w:pPr>
      <w:r>
        <w:rPr>
          <w:b/>
          <w:sz w:val="18"/>
          <w:szCs w:val="18"/>
          <w:rtl w:val="0"/>
        </w:rPr>
        <w:t>De primaire missie van de Knikkers is het bieden van Nederlands taal- en cultuuronderwijs als aanvulling op het dagonderwijs, aan kinderen in de leeftijd van 4 tot 18 jaar. Het gaat hierbij om kinderen die een emotionele en culturele band met Nederland hebben. Bij ons krijgen ze de kans om  het Nederlandse deel van hun persoonlijkheid te ontwikkelen. Wij zijn van mening dat onderwijs in de moedertaal, Nederlandse en Belgische kinderen en jongeren helpt om zich wereldwijd optimaal te ontwikkelen. Hun eigen culturele identiteit is daarbij de basis: Een basis waar zij op terug kunnen vallen en van waaruit zij verder kunnen groeien. Door aan te sluiten bij de kerndoelen en referentieniveaus zoals deze geformuleerd zijn door het Ministerie van Onderwijs in Nederland proberen wij aansluiting met het Nederlandse of Vlaamse onderwijs te behouden om zo de instroom bij een eventuele terugkeer te vergemakkelijken. Voor de groep leerlingen die het Nederlands minder goed beheerst, leggen wij de nadruk in eerste instantie meer op het verwerven van mondelinge taalvaardigheden, maar wij werken altijd toe naar het aanbieden van alle taaldomeinen. Naast taal onderwijs verzorgen wij ook cultuuronderwijs, waarbij de kinderen meer leren over en ervaring opdoen met de Nederlandse en Belgische cultuur. Ons onderwijs is erop gericht dat leerlingen vaardigheden ontwikkelen waarmee ze de Nederlandse taal doelmatig kunnen gebruiken in situaties die zich in het dagelijks leven voordoen; kennis en inzicht verwerven omtrent betekenis, gebruik en vorm van de taal; plezier hebben en houden in het gebruiken en beschouwen van de taal.</w:t>
      </w:r>
    </w:p>
    <w:p w14:paraId="00000070">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6" w:right="2339" w:firstLine="0"/>
        <w:rPr>
          <w:b/>
          <w:sz w:val="18"/>
          <w:szCs w:val="18"/>
        </w:rPr>
      </w:pPr>
    </w:p>
    <w:p w14:paraId="00000071">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46" w:firstLine="0"/>
        <w:rPr>
          <w:b/>
          <w:color w:val="000000"/>
          <w:sz w:val="18"/>
          <w:szCs w:val="18"/>
        </w:rPr>
      </w:pPr>
      <w:r>
        <w:rPr>
          <w:b/>
          <w:color w:val="000000"/>
          <w:sz w:val="18"/>
          <w:szCs w:val="18"/>
          <w:rtl w:val="0"/>
        </w:rPr>
        <w:t xml:space="preserve">Visie </w:t>
      </w:r>
    </w:p>
    <w:p w14:paraId="00000072">
      <w:pPr>
        <w:pStyle w:val="3"/>
        <w:keepNext w:val="0"/>
        <w:keepLines w:val="0"/>
        <w:widowControl w:val="0"/>
        <w:numPr>
          <w:ilvl w:val="0"/>
          <w:numId w:val="1"/>
        </w:numPr>
        <w:tabs>
          <w:tab w:val="left" w:pos="331"/>
        </w:tabs>
        <w:spacing w:before="229" w:after="0" w:line="240" w:lineRule="auto"/>
        <w:ind w:left="331" w:hanging="199"/>
        <w:rPr>
          <w:sz w:val="18"/>
          <w:szCs w:val="18"/>
        </w:rPr>
      </w:pPr>
      <w:bookmarkStart w:id="0" w:name="_heading=h.3dy6vkm" w:colFirst="0" w:colLast="0"/>
      <w:bookmarkEnd w:id="0"/>
      <w:r>
        <w:rPr>
          <w:sz w:val="18"/>
          <w:szCs w:val="18"/>
          <w:rtl w:val="0"/>
        </w:rPr>
        <w:t>Visie</w:t>
      </w:r>
    </w:p>
    <w:p w14:paraId="00000073">
      <w:pPr>
        <w:pStyle w:val="5"/>
        <w:keepNext w:val="0"/>
        <w:keepLines w:val="0"/>
        <w:widowControl w:val="0"/>
        <w:numPr>
          <w:ilvl w:val="1"/>
          <w:numId w:val="1"/>
        </w:numPr>
        <w:tabs>
          <w:tab w:val="left" w:pos="466"/>
        </w:tabs>
        <w:spacing w:before="236" w:after="0" w:line="240" w:lineRule="auto"/>
        <w:ind w:left="466" w:hanging="334"/>
        <w:rPr>
          <w:sz w:val="18"/>
          <w:szCs w:val="18"/>
        </w:rPr>
      </w:pPr>
      <w:r>
        <w:rPr>
          <w:sz w:val="18"/>
          <w:szCs w:val="18"/>
          <w:rtl w:val="0"/>
        </w:rPr>
        <w:t>De visie van de school</w:t>
      </w:r>
    </w:p>
    <w:p w14:paraId="00000074">
      <w:pPr>
        <w:widowControl w:val="0"/>
        <w:spacing w:before="140" w:line="300" w:lineRule="auto"/>
        <w:ind w:left="132" w:right="215" w:firstLine="0"/>
        <w:rPr>
          <w:b/>
          <w:sz w:val="18"/>
          <w:szCs w:val="18"/>
        </w:rPr>
      </w:pPr>
      <w:r>
        <w:rPr>
          <w:b/>
          <w:sz w:val="18"/>
          <w:szCs w:val="18"/>
          <w:rtl w:val="0"/>
        </w:rPr>
        <w:t xml:space="preserve">De Knikkers is constant in ontwikkeling: Kinderen gaan en komen, maar met name onder het onderwijzend personeel hebben er de afgelopen jaren ook veel wisselingen plaatsgevonden. We willen ernaar streven om de opgebouwde kwaliteit te borgen en om de continuïteit te behouden. </w:t>
      </w:r>
    </w:p>
    <w:p w14:paraId="00000075">
      <w:pPr>
        <w:widowControl w:val="0"/>
        <w:spacing w:before="140" w:line="300" w:lineRule="auto"/>
        <w:ind w:left="132" w:right="215" w:firstLine="0"/>
        <w:rPr>
          <w:b/>
          <w:sz w:val="18"/>
          <w:szCs w:val="18"/>
        </w:rPr>
      </w:pPr>
      <w:r>
        <w:rPr>
          <w:b/>
          <w:sz w:val="18"/>
          <w:szCs w:val="18"/>
          <w:u w:val="single"/>
          <w:rtl w:val="0"/>
        </w:rPr>
        <w:t>Continuïteits initiatief 1</w:t>
      </w:r>
      <w:r>
        <w:rPr>
          <w:b/>
          <w:sz w:val="18"/>
          <w:szCs w:val="18"/>
          <w:rtl w:val="0"/>
        </w:rPr>
        <w:t>:</w:t>
      </w:r>
    </w:p>
    <w:p w14:paraId="00000076">
      <w:pPr>
        <w:widowControl w:val="0"/>
        <w:spacing w:before="140" w:line="300" w:lineRule="auto"/>
        <w:ind w:left="132" w:right="215" w:firstLine="0"/>
        <w:rPr>
          <w:b/>
          <w:sz w:val="18"/>
          <w:szCs w:val="18"/>
        </w:rPr>
      </w:pPr>
      <w:r>
        <w:rPr>
          <w:b/>
          <w:sz w:val="18"/>
          <w:szCs w:val="18"/>
          <w:rtl w:val="0"/>
        </w:rPr>
        <w:t>Gekozen is voor vaste methodes voor PO: Lijn 3, Staal, Nieuwsbegrip en Hotel Hallo. Voor VO werken we met Plot 26 en Nieuw Nederlands. Dit geeft continuïteit voor kinderen door de jaren heen en bij wisseling van leerkrachten. Daarnaast is er een vaste huiswerk structuur voor PO geïnitieerd, wat meer vrijheid geeft aan leerkrachten wat betreft de vormgeving van de lessen. We denken dat we leerkrachten zo optimaal in hun kracht zetten en dit leidt tot betere lessen en gemotiveerde kinderen met goede progressie. Het 1,5 uur huiswerk aanbod is in principe opgebouwd uit:  ⅓ spelling / grammatica (Lijn 3  / Staal oefensoftware en/of werkboekje), ⅓ (begrijpend) lezen (waaronder Nieuwsbegrip), ⅓ taal / woordenschat (waaronder Nieuwsbegrip, Hotel Hallo, Staal).</w:t>
      </w:r>
    </w:p>
    <w:p w14:paraId="00000077">
      <w:pPr>
        <w:widowControl w:val="0"/>
        <w:spacing w:before="140" w:line="300" w:lineRule="auto"/>
        <w:ind w:left="132" w:right="215" w:firstLine="0"/>
        <w:rPr>
          <w:b/>
          <w:sz w:val="18"/>
          <w:szCs w:val="18"/>
          <w:u w:val="single"/>
        </w:rPr>
      </w:pPr>
      <w:r>
        <w:rPr>
          <w:b/>
          <w:sz w:val="18"/>
          <w:szCs w:val="18"/>
          <w:u w:val="single"/>
          <w:rtl w:val="0"/>
        </w:rPr>
        <w:t>Continuïteits initiatief 2:</w:t>
      </w:r>
    </w:p>
    <w:p w14:paraId="00000078">
      <w:pPr>
        <w:widowControl w:val="0"/>
        <w:spacing w:before="140" w:line="300" w:lineRule="auto"/>
        <w:ind w:left="132" w:right="215" w:firstLine="0"/>
        <w:rPr>
          <w:b/>
          <w:sz w:val="18"/>
          <w:szCs w:val="18"/>
        </w:rPr>
      </w:pPr>
      <w:r>
        <w:rPr>
          <w:b/>
          <w:sz w:val="18"/>
          <w:szCs w:val="18"/>
          <w:rtl w:val="0"/>
        </w:rPr>
        <w:t>Erkend door de Onderwijsinspectie was de kwaliteit van de lessen en de medewerkers hoog. Echter de administratie was niet voldoende op orde om overdrachten tussen leerkrachten soepel te laten plaatsvinden. Op de shared drive (alleen toegankelijk voor leerkrachten) zijn nu logboeken en aanvullende materialen die een overzicht geven van de reeds gegeven lessen, huiswerktaken en de participatie van de leerlingen hierin. Dit naast de reeds bestaande leerling dossiers met doelen en resultaten.</w:t>
      </w:r>
    </w:p>
    <w:p w14:paraId="00000079">
      <w:pPr>
        <w:widowControl w:val="0"/>
        <w:spacing w:before="140" w:line="300" w:lineRule="auto"/>
        <w:ind w:left="132" w:right="215" w:firstLine="0"/>
        <w:rPr>
          <w:b/>
          <w:sz w:val="18"/>
          <w:szCs w:val="18"/>
        </w:rPr>
      </w:pPr>
      <w:r>
        <w:rPr>
          <w:b/>
          <w:sz w:val="18"/>
          <w:szCs w:val="18"/>
          <w:u w:val="single"/>
          <w:rtl w:val="0"/>
        </w:rPr>
        <w:t>Communicatie/kwaliteits initatieven intern en met ouders</w:t>
      </w:r>
      <w:r>
        <w:rPr>
          <w:b/>
          <w:sz w:val="18"/>
          <w:szCs w:val="18"/>
          <w:rtl w:val="0"/>
        </w:rPr>
        <w:t>:</w:t>
      </w:r>
    </w:p>
    <w:p w14:paraId="0000007A">
      <w:pPr>
        <w:widowControl w:val="0"/>
        <w:spacing w:before="140" w:line="300" w:lineRule="auto"/>
        <w:ind w:left="132" w:right="215" w:firstLine="0"/>
        <w:rPr>
          <w:b/>
          <w:sz w:val="18"/>
          <w:szCs w:val="18"/>
        </w:rPr>
      </w:pPr>
      <w:r>
        <w:rPr>
          <w:b/>
          <w:sz w:val="18"/>
          <w:szCs w:val="18"/>
          <w:rtl w:val="0"/>
        </w:rPr>
        <w:t xml:space="preserve">De communicatie binnen NTC de Knikkers en met de ouders was ok, maar er was ruimte tot verbetering. Initatieven betreffende oudercommunicatie; 1 (groepale) oudermeeting in maart (= begin schooljaar in Argentinie: agenda = school missie, groepen en jaar agenda etc.), 1 ouder meeting betreffende de jaardoelen van de groep in maart/april. Dit naast de reeds bestaande individuele oudergesprekken en rapporten eind S1 (juli) en S2 (december). </w:t>
      </w:r>
    </w:p>
    <w:p w14:paraId="0000007B">
      <w:pPr>
        <w:widowControl w:val="0"/>
        <w:spacing w:before="140" w:line="300" w:lineRule="auto"/>
        <w:ind w:left="132" w:right="215" w:firstLine="0"/>
        <w:rPr>
          <w:b/>
          <w:sz w:val="18"/>
          <w:szCs w:val="18"/>
        </w:rPr>
      </w:pPr>
      <w:r>
        <w:rPr>
          <w:b/>
          <w:sz w:val="18"/>
          <w:szCs w:val="18"/>
          <w:rtl w:val="0"/>
        </w:rPr>
        <w:t>interne communicatie loopt goed mbt operationele zaken. Hiervoor dient de groeps whats app. Echter sinds maart 2024 is er een 2 maandelijkse vergaderkalender voor leerkrachten met als doel het meer delen van ervaringen en tips voor persoonlijke groei van leerkrachten en kwaliteitsbewaking van het onderwijs binnen NTC De Knikkers.</w:t>
      </w:r>
    </w:p>
    <w:p w14:paraId="0000007C">
      <w:pPr>
        <w:widowControl w:val="0"/>
        <w:spacing w:before="140" w:line="300" w:lineRule="auto"/>
        <w:ind w:left="132" w:right="215" w:firstLine="0"/>
        <w:rPr>
          <w:b/>
          <w:sz w:val="18"/>
          <w:szCs w:val="18"/>
        </w:rPr>
      </w:pPr>
      <w:r>
        <w:rPr>
          <w:b/>
          <w:sz w:val="18"/>
          <w:szCs w:val="18"/>
          <w:rtl w:val="0"/>
        </w:rPr>
        <w:t>We gaan ervoor zorgen dat de school in de komende 4 jaar financieel gezond blijft en een toekomst heeft. De onderwijscoördinator en het bestuur zullen structureel contact onderhouden om de administratie op orde te houden en de doelen in het oog te houden. In de komende 4 jaar zullen de onderwijscoördinator en de leerkrachten de doelen elk jaar blijven bepalen, maar deze voortaan - zoals reeds benoemd - ook beter communiceren naar de ouders. Dit met als doel de driehoek ouder, leerkracht en leerling verder te versterken.</w:t>
      </w:r>
    </w:p>
    <w:p w14:paraId="0000007D">
      <w:pPr>
        <w:widowControl w:val="0"/>
        <w:spacing w:before="140" w:line="300" w:lineRule="auto"/>
        <w:ind w:left="132" w:right="215" w:firstLine="0"/>
        <w:rPr>
          <w:b/>
          <w:sz w:val="18"/>
          <w:szCs w:val="18"/>
        </w:rPr>
      </w:pPr>
    </w:p>
    <w:p w14:paraId="0000007E">
      <w:pPr>
        <w:widowControl w:val="0"/>
        <w:spacing w:before="140" w:line="300" w:lineRule="auto"/>
        <w:ind w:left="132" w:right="215" w:firstLine="0"/>
        <w:rPr>
          <w:b/>
          <w:sz w:val="18"/>
          <w:szCs w:val="18"/>
        </w:rPr>
      </w:pPr>
    </w:p>
    <w:p w14:paraId="0000007F">
      <w:pPr>
        <w:widowControl w:val="0"/>
        <w:spacing w:before="140" w:line="300" w:lineRule="auto"/>
        <w:ind w:left="132" w:right="215" w:firstLine="0"/>
        <w:rPr>
          <w:b/>
          <w:color w:val="000000"/>
          <w:sz w:val="18"/>
          <w:szCs w:val="18"/>
        </w:rPr>
      </w:pPr>
      <w:r>
        <w:rPr>
          <w:b/>
          <w:color w:val="000000"/>
          <w:sz w:val="18"/>
          <w:szCs w:val="18"/>
          <w:rtl w:val="0"/>
        </w:rPr>
        <w:t xml:space="preserve">2.2 Het pedagogische klimaat van de school </w:t>
      </w:r>
    </w:p>
    <w:p w14:paraId="00000080">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33" w:firstLine="14"/>
        <w:rPr>
          <w:b/>
          <w:color w:val="000000"/>
          <w:sz w:val="18"/>
          <w:szCs w:val="18"/>
        </w:rPr>
      </w:pPr>
      <w:r>
        <w:rPr>
          <w:b/>
          <w:color w:val="000000"/>
          <w:sz w:val="18"/>
          <w:szCs w:val="18"/>
          <w:rtl w:val="0"/>
        </w:rPr>
        <w:t xml:space="preserve">De sfeer waarin een kind opgroeit, is van groot belang voor de ontwikkeling van het kind. Wij stellen daarom een vriendelijk en veilig klimaat op prijs. Als een kind zich veilig voelt, kan het zich pas in positieve zin ontwikkelen. In de klas werken de kinderen vaak zelfstandig of in kleine groepjes. Op die manier stimuleren wij het zelfvertrouwen, de zelfstandigheid en samenwerking tussen de kinderen. Wij proberen in onze lessen veel variatie aan te brengen, zodat de kinderen worden uitgedaagd interactief met taal bezig te zijn. Door leerstof spelenderwijs aan te bieden proberen we te zorgen voor die goede sfeer. Ieder kind krijgt de ruimte om zich op zijn eigen manier en tempo te ontwikkelen. </w:t>
      </w:r>
    </w:p>
    <w:p w14:paraId="00000081">
      <w:pPr>
        <w:widowControl w:val="0"/>
        <w:pBdr>
          <w:top w:val="none" w:color="auto" w:sz="0" w:space="0"/>
          <w:left w:val="none" w:color="auto" w:sz="0" w:space="0"/>
          <w:bottom w:val="none" w:color="auto" w:sz="0" w:space="0"/>
          <w:right w:val="none" w:color="auto" w:sz="0" w:space="0"/>
          <w:between w:val="none" w:color="auto" w:sz="0" w:space="0"/>
        </w:pBdr>
        <w:spacing w:before="208" w:line="240" w:lineRule="auto"/>
        <w:ind w:left="149" w:right="47" w:firstLine="0"/>
        <w:rPr>
          <w:b/>
          <w:color w:val="000000"/>
          <w:sz w:val="18"/>
          <w:szCs w:val="18"/>
        </w:rPr>
      </w:pPr>
      <w:r>
        <w:rPr>
          <w:b/>
          <w:color w:val="000000"/>
          <w:sz w:val="18"/>
          <w:szCs w:val="18"/>
          <w:rtl w:val="0"/>
        </w:rPr>
        <w:t xml:space="preserve">2.3 Het didactische klimaat van de school </w:t>
      </w:r>
    </w:p>
    <w:p w14:paraId="00000082">
      <w:pPr>
        <w:widowControl w:val="0"/>
        <w:spacing w:before="139" w:line="300" w:lineRule="auto"/>
        <w:ind w:left="132" w:firstLine="0"/>
        <w:rPr>
          <w:b/>
          <w:sz w:val="18"/>
          <w:szCs w:val="18"/>
        </w:rPr>
      </w:pPr>
      <w:r>
        <w:rPr>
          <w:b/>
          <w:sz w:val="18"/>
          <w:szCs w:val="18"/>
          <w:rtl w:val="0"/>
        </w:rPr>
        <w:t>Er wordt op 1 locatie aan verschillende groepen les gegeven. Het NOB heeft het advies gegeven om met maximaal drie niveaugroepen in een klas te werken, op dit moment houden we dat goed in evenwicht. Dit maakt het namelijk ook mogelijk om een aantal onderwerpen aan de gehele groep aan te bieden; hierdoor kunnen we de effectieve leertijd vergroten.</w:t>
      </w:r>
    </w:p>
    <w:p w14:paraId="00000083">
      <w:pPr>
        <w:widowControl w:val="0"/>
        <w:spacing w:before="54" w:line="240" w:lineRule="auto"/>
        <w:rPr>
          <w:b/>
          <w:sz w:val="18"/>
          <w:szCs w:val="18"/>
        </w:rPr>
      </w:pPr>
    </w:p>
    <w:p w14:paraId="00000084">
      <w:pPr>
        <w:widowControl w:val="0"/>
        <w:spacing w:line="300" w:lineRule="auto"/>
        <w:ind w:left="132" w:right="284" w:firstLine="0"/>
        <w:rPr>
          <w:b/>
          <w:sz w:val="18"/>
          <w:szCs w:val="18"/>
        </w:rPr>
      </w:pPr>
      <w:r>
        <w:rPr>
          <w:b/>
          <w:sz w:val="18"/>
          <w:szCs w:val="18"/>
          <w:rtl w:val="0"/>
        </w:rPr>
        <w:t>We kiezen ervoor om in de lessen de focus te leggen op lezen en spreken. Dit houdt in zakelijk lezen (het lezen van teksten) en het lezen van fictie. Daarbij aansluitend vergroten we de woordenschat, zodat woorden zoveel mogelijk in een samenhang worden aangeboden. Spelling doen we in aparte spellingsboeken en software, maar we proberen de opdrachten met elkaar samen te laten hangen. De opdrachten in spreken en schrijven bieden we functioneel aan en vaak in spelvorm. Zo schrijven leerlingen bijvoorbeeld e-mails aan familie of discussiëren ze over een nieuwsonderwerp wat we samen hebben bekeken en gelezen. We willen de komende jaren meer gaan inzetten op leespromotie en leesbevordering, zodat kinderen thuis meer Nederlandse boeken gaan lezen. Daartoe hebben we sinds september 2023 een ouder die de Knikker bibliotheek maandelijks naar de schoollocatie zal brengen en op deze manier zullen we de kinderen maandelijks van verse boeken voorzien. Daarnaast besteden we sinds 2021 elk jaar ruim aandacht aan Kinderboekenweek.</w:t>
      </w:r>
    </w:p>
    <w:p w14:paraId="00000085">
      <w:pPr>
        <w:widowControl w:val="0"/>
        <w:spacing w:before="56" w:line="240" w:lineRule="auto"/>
        <w:rPr>
          <w:b/>
          <w:sz w:val="18"/>
          <w:szCs w:val="18"/>
        </w:rPr>
      </w:pPr>
    </w:p>
    <w:p w14:paraId="00000086">
      <w:pPr>
        <w:widowControl w:val="0"/>
        <w:spacing w:line="300" w:lineRule="auto"/>
        <w:ind w:left="132" w:right="250" w:firstLine="0"/>
        <w:rPr>
          <w:b/>
          <w:sz w:val="18"/>
          <w:szCs w:val="18"/>
        </w:rPr>
      </w:pPr>
      <w:r>
        <w:rPr>
          <w:b/>
          <w:sz w:val="18"/>
          <w:szCs w:val="18"/>
          <w:rtl w:val="0"/>
        </w:rPr>
        <w:t>De leerkrachten proberen met de input van de uitslagen van de toetsen en de NOB-leerlijnen, elke leerling in te delen op instructieniveau. Hierdoor is differentiatie in de les makkelijker te realiseren. Leerlingen die sneller vooruit kunnen, hoeven niet onnodig lang te luisteren naar instructie, leerlingen die meer tijd nodig hebben, voelen zich niet bezwaard een extra vraag te stellen.</w:t>
      </w:r>
    </w:p>
    <w:p w14:paraId="00000087">
      <w:pPr>
        <w:widowControl w:val="0"/>
        <w:spacing w:before="54" w:line="240" w:lineRule="auto"/>
        <w:rPr>
          <w:b/>
          <w:sz w:val="18"/>
          <w:szCs w:val="18"/>
        </w:rPr>
      </w:pPr>
    </w:p>
    <w:p w14:paraId="00000088">
      <w:pPr>
        <w:widowControl w:val="0"/>
        <w:spacing w:line="300" w:lineRule="auto"/>
        <w:ind w:left="132" w:right="268" w:firstLine="0"/>
        <w:jc w:val="both"/>
        <w:rPr>
          <w:b/>
          <w:sz w:val="18"/>
          <w:szCs w:val="18"/>
        </w:rPr>
      </w:pPr>
      <w:r>
        <w:rPr>
          <w:b/>
          <w:sz w:val="18"/>
          <w:szCs w:val="18"/>
          <w:rtl w:val="0"/>
        </w:rPr>
        <w:t>In het halfjaarlijkse rapport wordt over de uitslagen van de toetsen en het niveau van de leerling ten opzichte van de NOB-leerlijnen gecommuniceerd. De ouders hebben op deze manier een beeld van het leeraanbod, maar ook van de voortgang van hun kind.</w:t>
      </w:r>
    </w:p>
    <w:p w14:paraId="00000089">
      <w:pPr>
        <w:widowControl w:val="0"/>
        <w:spacing w:line="300" w:lineRule="auto"/>
        <w:ind w:left="132" w:right="268" w:firstLine="0"/>
        <w:jc w:val="both"/>
        <w:rPr>
          <w:b/>
          <w:sz w:val="18"/>
          <w:szCs w:val="18"/>
        </w:rPr>
      </w:pPr>
    </w:p>
    <w:p w14:paraId="0000008A">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2" w:firstLine="0"/>
        <w:rPr>
          <w:b/>
          <w:color w:val="000000"/>
          <w:sz w:val="18"/>
          <w:szCs w:val="18"/>
        </w:rPr>
      </w:pPr>
      <w:r>
        <w:rPr>
          <w:b/>
          <w:sz w:val="18"/>
          <w:szCs w:val="18"/>
          <w:rtl w:val="0"/>
        </w:rPr>
        <w:t>Aanna</w:t>
      </w:r>
      <w:r>
        <w:rPr>
          <w:b/>
          <w:color w:val="000000"/>
          <w:sz w:val="18"/>
          <w:szCs w:val="18"/>
          <w:rtl w:val="0"/>
        </w:rPr>
        <w:t xml:space="preserve">mebeleid </w:t>
      </w:r>
    </w:p>
    <w:p w14:paraId="0000008B">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3" w:right="46" w:firstLine="10"/>
        <w:rPr>
          <w:b/>
          <w:color w:val="000000"/>
          <w:sz w:val="18"/>
          <w:szCs w:val="18"/>
        </w:rPr>
      </w:pPr>
      <w:r>
        <w:rPr>
          <w:b/>
          <w:color w:val="000000"/>
          <w:sz w:val="18"/>
          <w:szCs w:val="18"/>
          <w:rtl w:val="0"/>
        </w:rPr>
        <w:t xml:space="preserve">De Knikkers staat in principe het hele jaar open voor nieuwe inschrijvingen van leerlingen. Het is mogelijk om vooraf een vrijblijvende proefles te nemen om te zien of de leerling geschikt is om deel te nemen en of de lessen aansluiten bij de verwachtingen van de ouders en het kind. Ook zal de onderwijscoördinator een intakegesprek houden met de ouders. Hierbij wordt de ouders gevraagd naar (indien aanwezig) het leerlingendossier van de vorige door het kind bezochte Nederlandse school. Hierin zijn bij voorkeur opgenomen: het onderwijskundig rapport, recente toetsgegevens van het leerlingvolgsysteem, eventueel opgestelde handelingsplannen en een kopie van het laatste schoolrapport. Wanneer het kind nog niet eerder Nederlands onderwijs heeft gevolgd, zal de onderwijscoördinator in overleg met het bestuur bepalen of het kind in aanmerking komt voor de lessen bij de Knikkers. Een vereiste is dat tenminste een ouder consequent de Nederlandse taal spreekt met de leerling. </w:t>
      </w:r>
    </w:p>
    <w:p w14:paraId="0000008C">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0"/>
        <w:rPr>
          <w:b/>
          <w:color w:val="000000"/>
          <w:sz w:val="18"/>
          <w:szCs w:val="18"/>
        </w:rPr>
      </w:pPr>
      <w:r>
        <w:rPr>
          <w:b/>
          <w:sz w:val="18"/>
          <w:szCs w:val="18"/>
          <w:rtl w:val="0"/>
        </w:rPr>
        <w:t>De Knikkers neemt alleen kinderen aan die al een basis in het Nederlands hebben, de zogenaamde Richting 2 leerlingen, ook al is die basis soms nog beperkt. Daarnaast moet er thuis ook Nederlands gesproken worden en de ambitie bestaan om de kinderen op alle taaldomeinen te ontwikkelen, ook al is dit niet altijd mogelijk vanaf het begin bij de Knikkers. Als de kinderen nieuw zijn binnen het Nederlandse taal en cultuur onderwijs dan starten we op maat met meer aandacht voor woordenschat en verbale vaardigheden en soms ook een uitleg die nog niet 100% in het Nederlands is. Echter voor deze aanloop periode nemen we maximaal een jaar, meestal korter.</w:t>
      </w:r>
    </w:p>
    <w:p w14:paraId="0000008D">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color w:val="000000"/>
          <w:sz w:val="18"/>
          <w:szCs w:val="18"/>
        </w:rPr>
      </w:pPr>
    </w:p>
    <w:p w14:paraId="0000008E">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color w:val="000000"/>
          <w:sz w:val="18"/>
          <w:szCs w:val="18"/>
        </w:rPr>
      </w:pPr>
      <w:r>
        <w:rPr>
          <w:b/>
          <w:color w:val="000000"/>
          <w:sz w:val="18"/>
          <w:szCs w:val="18"/>
          <w:rtl w:val="0"/>
        </w:rPr>
        <w:t>Leerrichtingen</w:t>
      </w:r>
    </w:p>
    <w:p w14:paraId="0000008F">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color w:val="000000"/>
          <w:sz w:val="18"/>
          <w:szCs w:val="18"/>
        </w:rPr>
      </w:pPr>
      <w:r>
        <w:rPr>
          <w:b/>
          <w:color w:val="000000"/>
          <w:sz w:val="18"/>
          <w:szCs w:val="18"/>
          <w:rtl w:val="0"/>
        </w:rPr>
        <w:t xml:space="preserve">Het NTC-onderwijs kenmerkt zich door een grote diversiteit in leeftijdsgroepen en taalniveaus. In het NTC-onderwijs worden drie richtingen onderscheiden. Het taalniveau van de leerling bepaalt de richting van de leerling en de daarbij behorende streefdoelen. Bij de aanname zal bekeken worden onder welke richting de leerling valt. </w:t>
      </w:r>
    </w:p>
    <w:p w14:paraId="00000090">
      <w:pPr>
        <w:widowControl w:val="0"/>
        <w:spacing w:before="278" w:line="245" w:lineRule="auto"/>
        <w:ind w:right="189"/>
        <w:rPr>
          <w:b/>
          <w:sz w:val="18"/>
          <w:szCs w:val="18"/>
        </w:rPr>
      </w:pPr>
      <w:r>
        <w:rPr>
          <w:b/>
          <w:sz w:val="18"/>
          <w:szCs w:val="18"/>
          <w:rtl w:val="0"/>
        </w:rPr>
        <w:t>De taaldomeinen die worden onderscheiden zijn: lezen, schrijven, mondelinge taalvaardigheid, woordenschat, begrippen en taalverzorging.Het referentieniveau taal schrijft voor wat kinderen moeten kennen en kunnen op het gebied van Nederlandse taal in basisonderwijs, speciaal onderwijs, voortgezet onderwijs en mbo.</w:t>
      </w:r>
    </w:p>
    <w:p w14:paraId="00000091">
      <w:pPr>
        <w:widowControl w:val="0"/>
        <w:shd w:val="clear" w:fill="FFFFFF"/>
        <w:spacing w:before="280" w:after="280"/>
        <w:rPr>
          <w:b/>
          <w:sz w:val="18"/>
          <w:szCs w:val="18"/>
        </w:rPr>
      </w:pPr>
      <w:r>
        <w:rPr>
          <w:b/>
          <w:sz w:val="18"/>
          <w:szCs w:val="18"/>
          <w:rtl w:val="0"/>
        </w:rPr>
        <w:t xml:space="preserve"> Europees Referentiekader</w:t>
      </w:r>
      <w:r>
        <w:rPr>
          <w:b/>
          <w:sz w:val="18"/>
          <w:szCs w:val="18"/>
          <w:rtl w:val="0"/>
        </w:rPr>
        <w:br w:type="textWrapping"/>
      </w:r>
      <w:r>
        <w:rPr>
          <w:b/>
          <w:sz w:val="18"/>
          <w:szCs w:val="18"/>
          <w:rtl w:val="0"/>
        </w:rPr>
        <w:t>Het Europees Referentiekader voor Moderne Vreemde Talen (ERK) is een instrument om het niveau waarop iemand zijn talen beheerst, te beschrijven. Het wordt gebruikt in het vreemdetalenonderwijs en in het onderwijs Nederlands aan anderstaligen. Het ERK onderscheidt 6 niveaus van taalbeheersing: A1 (beginner), A2, B1, B2, C1 en C2 (bijna moedertaalspreker).</w:t>
      </w:r>
    </w:p>
    <w:p w14:paraId="00000092">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sz w:val="18"/>
          <w:szCs w:val="18"/>
        </w:rPr>
      </w:pPr>
      <w:r>
        <w:rPr>
          <w:b/>
          <w:color w:val="000000"/>
          <w:sz w:val="18"/>
          <w:szCs w:val="18"/>
          <w:rtl w:val="0"/>
        </w:rPr>
        <w:t>Richting 1</w:t>
      </w:r>
      <w:r>
        <w:rPr>
          <w:b/>
          <w:color w:val="000000"/>
          <w:sz w:val="18"/>
          <w:szCs w:val="18"/>
          <w:rtl w:val="0"/>
        </w:rPr>
        <w:br w:type="textWrapping"/>
      </w:r>
      <w:r>
        <w:rPr>
          <w:b/>
          <w:color w:val="000000"/>
          <w:sz w:val="18"/>
          <w:szCs w:val="18"/>
          <w:rtl w:val="0"/>
        </w:rPr>
        <w:t xml:space="preserve">De leerling werkt in alle taaldomeinen,  toe naar het einddoel basisonderwijs: minimaal referentieniveau 1F en waar mogelijk streefniveau 2F en het einddoel voortgezet onderwijs: minimaal referentieniveau 2F, 3F of 4F. De leerling werkt in alle taaldomeinen toe naar eenzelfde einddoel als hij/zij zou doen in Nederland of Vlaanderen. Het moment dat deze doelen bereikt worden, kan per taaldomein enigszins verschillen. </w:t>
      </w:r>
    </w:p>
    <w:p w14:paraId="00000093">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color w:val="000000"/>
          <w:sz w:val="18"/>
          <w:szCs w:val="18"/>
        </w:rPr>
      </w:pPr>
      <w:r>
        <w:rPr>
          <w:b/>
          <w:color w:val="000000"/>
          <w:sz w:val="18"/>
          <w:szCs w:val="18"/>
          <w:rtl w:val="0"/>
        </w:rPr>
        <w:t>Richting 2</w:t>
      </w:r>
      <w:r>
        <w:rPr>
          <w:b/>
          <w:color w:val="000000"/>
          <w:sz w:val="18"/>
          <w:szCs w:val="18"/>
          <w:rtl w:val="0"/>
        </w:rPr>
        <w:br w:type="textWrapping"/>
      </w:r>
      <w:r>
        <w:rPr>
          <w:b/>
          <w:color w:val="000000"/>
          <w:sz w:val="18"/>
          <w:szCs w:val="18"/>
          <w:rtl w:val="0"/>
        </w:rPr>
        <w:t>De leerling werkt in alle taaldomeinen (net als binnen richting 1) toe naar de referentieniveaus. Voor vo-leerlingen kan vanaf referentieniveau 2F het einddoel ook zijn gericht op het Europees Referentiekader B1 of hoger. De leerling bereikt, vanwege de invloed van andere talen, deze doelen op een later moment dan hij/zij zou doen in Nederland of Vlaanderen. Het moment dat deze doelen bereikt worden, kan per taaldomein verschillen.</w:t>
      </w:r>
    </w:p>
    <w:p w14:paraId="00000094">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189"/>
        <w:rPr>
          <w:b/>
          <w:color w:val="000000"/>
          <w:sz w:val="18"/>
          <w:szCs w:val="18"/>
        </w:rPr>
      </w:pPr>
      <w:r>
        <w:rPr>
          <w:b/>
          <w:color w:val="000000"/>
          <w:sz w:val="18"/>
          <w:szCs w:val="18"/>
          <w:rtl w:val="0"/>
        </w:rPr>
        <w:t>Richting 3</w:t>
      </w:r>
      <w:r>
        <w:rPr>
          <w:b/>
          <w:color w:val="000000"/>
          <w:sz w:val="18"/>
          <w:szCs w:val="18"/>
          <w:rtl w:val="0"/>
        </w:rPr>
        <w:br w:type="textWrapping"/>
      </w:r>
      <w:r>
        <w:rPr>
          <w:b/>
          <w:color w:val="000000"/>
          <w:sz w:val="18"/>
          <w:szCs w:val="18"/>
          <w:rtl w:val="0"/>
        </w:rPr>
        <w:t xml:space="preserve">De leerling werkt toe naar de doelen die gebaseerd zijn op basale communicatieve functies zoals beschreven in het Europees Referentiekader A1 en A2. De leerling leert Nederlands als nieuwe taal. Doelstellingen worden op maat geformuleerd en kunnen per taaldomein verschillen. Deze richting </w:t>
      </w:r>
      <w:r>
        <w:rPr>
          <w:b/>
          <w:sz w:val="18"/>
          <w:szCs w:val="18"/>
          <w:rtl w:val="0"/>
        </w:rPr>
        <w:t>komt binnen de Knikkers niet voor.</w:t>
      </w:r>
    </w:p>
    <w:p w14:paraId="00000095">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9"/>
        <w:rPr>
          <w:b/>
          <w:color w:val="000000"/>
          <w:sz w:val="18"/>
          <w:szCs w:val="18"/>
        </w:rPr>
      </w:pPr>
    </w:p>
    <w:p w14:paraId="00000096">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9"/>
        <w:rPr>
          <w:b/>
          <w:color w:val="000000"/>
          <w:sz w:val="18"/>
          <w:szCs w:val="18"/>
        </w:rPr>
      </w:pPr>
    </w:p>
    <w:p w14:paraId="00000097">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9"/>
        <w:rPr>
          <w:b/>
          <w:color w:val="000000"/>
          <w:sz w:val="18"/>
          <w:szCs w:val="18"/>
        </w:rPr>
      </w:pPr>
      <w:r>
        <w:rPr>
          <w:b/>
          <w:color w:val="000000"/>
          <w:sz w:val="18"/>
          <w:szCs w:val="18"/>
          <w:rtl w:val="0"/>
        </w:rPr>
        <w:t xml:space="preserve"> </w:t>
      </w:r>
      <w:r>
        <w:drawing>
          <wp:anchor distT="0" distB="0" distL="114300" distR="114300" simplePos="0" relativeHeight="251659264" behindDoc="0" locked="0" layoutInCell="1" allowOverlap="1">
            <wp:simplePos x="0" y="0"/>
            <wp:positionH relativeFrom="column">
              <wp:posOffset>-697865</wp:posOffset>
            </wp:positionH>
            <wp:positionV relativeFrom="paragraph">
              <wp:posOffset>0</wp:posOffset>
            </wp:positionV>
            <wp:extent cx="7426325" cy="9124950"/>
            <wp:effectExtent l="0" t="0" r="0" b="0"/>
            <wp:wrapTopAndBottom/>
            <wp:docPr id="9" name="image2.png"/>
            <wp:cNvGraphicFramePr/>
            <a:graphic xmlns:a="http://schemas.openxmlformats.org/drawingml/2006/main">
              <a:graphicData uri="http://schemas.openxmlformats.org/drawingml/2006/picture">
                <pic:pic xmlns:pic="http://schemas.openxmlformats.org/drawingml/2006/picture">
                  <pic:nvPicPr>
                    <pic:cNvPr id="9" name="image2.png"/>
                    <pic:cNvPicPr preferRelativeResize="0"/>
                  </pic:nvPicPr>
                  <pic:blipFill>
                    <a:blip r:embed="rId7"/>
                    <a:srcRect/>
                    <a:stretch>
                      <a:fillRect/>
                    </a:stretch>
                  </pic:blipFill>
                  <pic:spPr>
                    <a:xfrm>
                      <a:off x="0" y="0"/>
                      <a:ext cx="7426325" cy="9124950"/>
                    </a:xfrm>
                    <a:prstGeom prst="rect">
                      <a:avLst/>
                    </a:prstGeom>
                  </pic:spPr>
                </pic:pic>
              </a:graphicData>
            </a:graphic>
          </wp:anchor>
        </w:drawing>
      </w:r>
    </w:p>
    <w:p w14:paraId="00000098">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9"/>
        <w:rPr>
          <w:b/>
          <w:color w:val="000000"/>
          <w:sz w:val="18"/>
          <w:szCs w:val="18"/>
        </w:rPr>
      </w:pPr>
    </w:p>
    <w:p w14:paraId="00000099">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89" w:firstLine="9"/>
        <w:rPr>
          <w:b/>
          <w:color w:val="000000"/>
          <w:sz w:val="18"/>
          <w:szCs w:val="18"/>
        </w:rPr>
      </w:pPr>
    </w:p>
    <w:p w14:paraId="0000009A">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2" w:firstLine="0"/>
        <w:rPr>
          <w:b/>
          <w:color w:val="000000"/>
          <w:sz w:val="18"/>
          <w:szCs w:val="18"/>
        </w:rPr>
      </w:pPr>
      <w:r>
        <w:rPr>
          <w:b/>
          <w:color w:val="000000"/>
          <w:sz w:val="18"/>
          <w:szCs w:val="18"/>
          <w:rtl w:val="0"/>
        </w:rPr>
        <w:t xml:space="preserve">2.5 Absentiebeleid </w:t>
      </w:r>
    </w:p>
    <w:p w14:paraId="0000009B">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90" w:firstLine="9"/>
        <w:rPr>
          <w:b/>
          <w:color w:val="000000"/>
          <w:sz w:val="18"/>
          <w:szCs w:val="18"/>
        </w:rPr>
      </w:pPr>
      <w:r>
        <w:rPr>
          <w:b/>
          <w:color w:val="000000"/>
          <w:sz w:val="18"/>
          <w:szCs w:val="18"/>
          <w:rtl w:val="0"/>
        </w:rPr>
        <w:t xml:space="preserve">NTC-onderwijs volgen gebeurt op vrijwillige basis. Het volgen van de lessen en het deelnemen aan de culturele dagen is echter niet vrijblijvend. Wij willen goed onderwijs bieden aan uw kinderen en dat kan alleen als de kinderen deelnemen aan de lessen en aan de culturele dagen. Uitsluitend op deze manier kunnen wij bijdragen aan de ontwikkeling van uw kind op het gebied van de Nederlandse taal. De leerkrachten houden een aanwezigheidslijst bij. Bij afwezigheid dient u de leerkracht van de betreffende locatie van tevoren te informeren. Aangezien de lesvoorbereiding veel tijd kost, wordt dringend verzocht om afwezigheid tijdig te melden bij de onderwijscoördinator én de leerkracht. Mocht een leerling blijk geven van te veel absentie, dan zal er een gesprek plaatsvinden tussen leerlingen, ouders en leerkracht. </w:t>
      </w:r>
    </w:p>
    <w:p w14:paraId="0000009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90" w:firstLine="9"/>
        <w:rPr>
          <w:b/>
          <w:color w:val="000000"/>
          <w:sz w:val="18"/>
          <w:szCs w:val="18"/>
        </w:rPr>
      </w:pPr>
    </w:p>
    <w:p w14:paraId="0000009D">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90" w:firstLine="9"/>
        <w:rPr>
          <w:b/>
          <w:sz w:val="18"/>
          <w:szCs w:val="18"/>
        </w:rPr>
      </w:pPr>
      <w:r>
        <w:rPr>
          <w:b/>
          <w:color w:val="000000"/>
          <w:sz w:val="18"/>
          <w:szCs w:val="18"/>
          <w:rtl w:val="0"/>
        </w:rPr>
        <w:t xml:space="preserve">3 </w:t>
      </w:r>
      <w:r>
        <w:rPr>
          <w:b/>
          <w:sz w:val="18"/>
          <w:szCs w:val="18"/>
          <w:rtl w:val="0"/>
        </w:rPr>
        <w:t>Onderwijskundig beleid:</w:t>
      </w:r>
    </w:p>
    <w:p w14:paraId="0000009E">
      <w:pPr>
        <w:pStyle w:val="5"/>
        <w:keepNext w:val="0"/>
        <w:keepLines w:val="0"/>
        <w:widowControl w:val="0"/>
        <w:tabs>
          <w:tab w:val="left" w:pos="466"/>
        </w:tabs>
        <w:spacing w:before="236" w:after="0" w:line="240" w:lineRule="auto"/>
        <w:ind w:left="141" w:firstLine="0"/>
        <w:rPr>
          <w:sz w:val="18"/>
          <w:szCs w:val="18"/>
        </w:rPr>
      </w:pPr>
      <w:bookmarkStart w:id="1" w:name="_heading=h.ny94njdl7y0" w:colFirst="0" w:colLast="0"/>
      <w:bookmarkEnd w:id="1"/>
      <w:r>
        <w:rPr>
          <w:sz w:val="20"/>
          <w:szCs w:val="20"/>
          <w:rtl w:val="0"/>
        </w:rPr>
        <w:t xml:space="preserve">Gebruik van de onderwijstijd. Elke leerling (PO en VO) krijgt wekelijks tussen de 1,5 - 2,25 uur les en daarnaast 1,5 uur huiswerk aanbod. Dit huiswerk aanbod staat onder begeleiding van de leerkracht. Via het platform Seesaw (PO) of Google Classroom (VO) staan leerkrachten en leerlingen direct met elkaar in contact voor uitleg (via filmpjes, audios en in schrift) en vragen van kinderen. </w:t>
      </w:r>
      <w:r>
        <w:rPr>
          <w:sz w:val="18"/>
          <w:szCs w:val="18"/>
          <w:rtl w:val="0"/>
        </w:rPr>
        <w:t xml:space="preserve">Daarnaast hebben we 4 cultuurmiddagen per jaar voor VO en PO (waarvan alleen Koningsdag voor de hele school samen is). In April Koningsdag. In juni een wisselend thema, wat dit jaar de Nederlandse film was met de film ‘Mees Kees’. Voorafgaand aan de filmdag zelf (op groot scherm!) is er al in de groepen binnen het betreffende thema gewerkt. In juni hebben we met zn allen pannekoeken gegeten op het afscheid van meester Jur. En in augustus sloten we het Knikkers Winter project af met een extra cultuurdag rond de winter en de eerste kennismaking met de nieuwe juf Marieke. In oktober hebben we Kinderboekenweek gevierd met PO en ook de VO groepen zijn met jeugdliteratuur aan de slag gegaan. </w:t>
      </w:r>
    </w:p>
    <w:p w14:paraId="0000009F">
      <w:pPr>
        <w:pStyle w:val="5"/>
        <w:keepNext w:val="0"/>
        <w:keepLines w:val="0"/>
        <w:widowControl w:val="0"/>
        <w:tabs>
          <w:tab w:val="left" w:pos="466"/>
        </w:tabs>
        <w:spacing w:before="236" w:after="0" w:line="240" w:lineRule="auto"/>
        <w:ind w:left="141" w:firstLine="0"/>
        <w:rPr>
          <w:sz w:val="18"/>
          <w:szCs w:val="18"/>
        </w:rPr>
      </w:pPr>
      <w:r>
        <w:rPr>
          <w:sz w:val="18"/>
          <w:szCs w:val="18"/>
          <w:rtl w:val="0"/>
        </w:rPr>
        <w:t xml:space="preserve">In december staat ons nog Sinterklaas te wachten en een jaar-afsluitende VO activiteit. De maanden januari, februari en juli is er geen les. Alle andere weken gaan de lessen gewoon door. Totaal geven we elke leerling 38 weken les, waardoor we op een totaal aantal van 126 uur komen. Voor NTC-onderwijs geldt een richtlijn van 120 uur op jaarbasis en dat halen we dus. </w:t>
      </w:r>
    </w:p>
    <w:p w14:paraId="000000A0">
      <w:pPr>
        <w:pStyle w:val="5"/>
        <w:keepNext w:val="0"/>
        <w:keepLines w:val="0"/>
        <w:widowControl w:val="0"/>
        <w:tabs>
          <w:tab w:val="left" w:pos="466"/>
        </w:tabs>
        <w:spacing w:before="236" w:after="0" w:line="240" w:lineRule="auto"/>
        <w:ind w:left="141" w:firstLine="0"/>
        <w:rPr>
          <w:sz w:val="18"/>
          <w:szCs w:val="18"/>
        </w:rPr>
      </w:pPr>
      <w:bookmarkStart w:id="2" w:name="_heading=h.gkzyzm3udrr5" w:colFirst="0" w:colLast="0"/>
      <w:bookmarkEnd w:id="2"/>
    </w:p>
    <w:p w14:paraId="000000A1">
      <w:pPr>
        <w:pStyle w:val="5"/>
        <w:keepNext w:val="0"/>
        <w:keepLines w:val="0"/>
        <w:widowControl w:val="0"/>
        <w:tabs>
          <w:tab w:val="left" w:pos="466"/>
        </w:tabs>
        <w:spacing w:before="236" w:after="0" w:line="240" w:lineRule="auto"/>
        <w:ind w:left="141" w:firstLine="0"/>
        <w:rPr>
          <w:sz w:val="20"/>
          <w:szCs w:val="20"/>
        </w:rPr>
      </w:pPr>
      <w:bookmarkStart w:id="3" w:name="_heading=h.9qgu6s76zjxq" w:colFirst="0" w:colLast="0"/>
      <w:bookmarkEnd w:id="3"/>
    </w:p>
    <w:p w14:paraId="000000A2">
      <w:pPr>
        <w:pStyle w:val="5"/>
        <w:keepNext w:val="0"/>
        <w:keepLines w:val="0"/>
        <w:widowControl w:val="0"/>
        <w:tabs>
          <w:tab w:val="left" w:pos="466"/>
        </w:tabs>
        <w:spacing w:before="236" w:after="0" w:line="240" w:lineRule="auto"/>
        <w:ind w:left="141" w:firstLine="0"/>
        <w:rPr>
          <w:sz w:val="20"/>
          <w:szCs w:val="20"/>
        </w:rPr>
      </w:pPr>
    </w:p>
    <w:p w14:paraId="000000A3">
      <w:pPr>
        <w:pStyle w:val="5"/>
        <w:keepNext w:val="0"/>
        <w:keepLines w:val="0"/>
        <w:widowControl w:val="0"/>
        <w:tabs>
          <w:tab w:val="left" w:pos="466"/>
        </w:tabs>
        <w:spacing w:before="236" w:after="0" w:line="240" w:lineRule="auto"/>
        <w:ind w:left="141" w:firstLine="0"/>
        <w:rPr>
          <w:sz w:val="20"/>
          <w:szCs w:val="20"/>
        </w:rPr>
      </w:pPr>
    </w:p>
    <w:p w14:paraId="000000A4">
      <w:pPr>
        <w:pStyle w:val="5"/>
        <w:keepNext w:val="0"/>
        <w:keepLines w:val="0"/>
        <w:widowControl w:val="0"/>
        <w:tabs>
          <w:tab w:val="left" w:pos="466"/>
        </w:tabs>
        <w:spacing w:before="236" w:after="0" w:line="240" w:lineRule="auto"/>
        <w:ind w:left="141" w:firstLine="0"/>
        <w:rPr>
          <w:sz w:val="20"/>
          <w:szCs w:val="20"/>
        </w:rPr>
      </w:pPr>
    </w:p>
    <w:p w14:paraId="000000A5">
      <w:pPr>
        <w:pStyle w:val="5"/>
        <w:keepNext w:val="0"/>
        <w:keepLines w:val="0"/>
        <w:widowControl w:val="0"/>
        <w:tabs>
          <w:tab w:val="left" w:pos="466"/>
        </w:tabs>
        <w:spacing w:before="236" w:after="0" w:line="240" w:lineRule="auto"/>
        <w:ind w:left="141" w:firstLine="0"/>
        <w:rPr>
          <w:sz w:val="20"/>
          <w:szCs w:val="20"/>
        </w:rPr>
      </w:pPr>
    </w:p>
    <w:p w14:paraId="000000A6">
      <w:pPr>
        <w:pStyle w:val="5"/>
        <w:keepNext w:val="0"/>
        <w:keepLines w:val="0"/>
        <w:widowControl w:val="0"/>
        <w:tabs>
          <w:tab w:val="left" w:pos="466"/>
        </w:tabs>
        <w:spacing w:before="236" w:after="0" w:line="240" w:lineRule="auto"/>
        <w:ind w:left="141" w:firstLine="0"/>
        <w:rPr>
          <w:sz w:val="20"/>
          <w:szCs w:val="20"/>
        </w:rPr>
      </w:pPr>
    </w:p>
    <w:p w14:paraId="000000A7">
      <w:pPr>
        <w:pStyle w:val="5"/>
        <w:keepNext w:val="0"/>
        <w:keepLines w:val="0"/>
        <w:widowControl w:val="0"/>
        <w:tabs>
          <w:tab w:val="left" w:pos="466"/>
        </w:tabs>
        <w:spacing w:before="236" w:after="0" w:line="240" w:lineRule="auto"/>
        <w:ind w:left="141" w:firstLine="0"/>
        <w:rPr>
          <w:sz w:val="20"/>
          <w:szCs w:val="20"/>
        </w:rPr>
      </w:pPr>
    </w:p>
    <w:p w14:paraId="000000A8">
      <w:pPr>
        <w:pStyle w:val="5"/>
        <w:keepNext w:val="0"/>
        <w:keepLines w:val="0"/>
        <w:widowControl w:val="0"/>
        <w:tabs>
          <w:tab w:val="left" w:pos="466"/>
        </w:tabs>
        <w:spacing w:before="236" w:after="0" w:line="240" w:lineRule="auto"/>
        <w:ind w:left="141" w:firstLine="0"/>
        <w:rPr>
          <w:sz w:val="20"/>
          <w:szCs w:val="20"/>
        </w:rPr>
      </w:pPr>
    </w:p>
    <w:p w14:paraId="000000A9">
      <w:pPr>
        <w:pStyle w:val="5"/>
        <w:keepNext w:val="0"/>
        <w:keepLines w:val="0"/>
        <w:widowControl w:val="0"/>
        <w:tabs>
          <w:tab w:val="left" w:pos="466"/>
        </w:tabs>
        <w:spacing w:before="236" w:after="0" w:line="240" w:lineRule="auto"/>
        <w:ind w:left="141" w:firstLine="0"/>
        <w:rPr>
          <w:sz w:val="20"/>
          <w:szCs w:val="20"/>
        </w:rPr>
      </w:pPr>
    </w:p>
    <w:p w14:paraId="000000AA">
      <w:pPr>
        <w:pStyle w:val="5"/>
        <w:keepNext w:val="0"/>
        <w:keepLines w:val="0"/>
        <w:widowControl w:val="0"/>
        <w:tabs>
          <w:tab w:val="left" w:pos="466"/>
        </w:tabs>
        <w:spacing w:before="236" w:after="0" w:line="240" w:lineRule="auto"/>
        <w:ind w:left="141" w:firstLine="0"/>
        <w:rPr>
          <w:sz w:val="20"/>
          <w:szCs w:val="20"/>
        </w:rPr>
      </w:pPr>
    </w:p>
    <w:p w14:paraId="000000AB">
      <w:pPr>
        <w:pStyle w:val="5"/>
        <w:keepNext w:val="0"/>
        <w:keepLines w:val="0"/>
        <w:widowControl w:val="0"/>
        <w:tabs>
          <w:tab w:val="left" w:pos="466"/>
        </w:tabs>
        <w:spacing w:before="236" w:after="0" w:line="240" w:lineRule="auto"/>
        <w:ind w:left="141" w:firstLine="0"/>
        <w:rPr>
          <w:sz w:val="20"/>
          <w:szCs w:val="20"/>
        </w:rPr>
      </w:pPr>
    </w:p>
    <w:p w14:paraId="000000AC">
      <w:pPr>
        <w:pStyle w:val="5"/>
        <w:keepNext w:val="0"/>
        <w:keepLines w:val="0"/>
        <w:widowControl w:val="0"/>
        <w:tabs>
          <w:tab w:val="left" w:pos="466"/>
        </w:tabs>
        <w:spacing w:before="236" w:after="0" w:line="240" w:lineRule="auto"/>
        <w:ind w:left="141" w:firstLine="0"/>
        <w:rPr>
          <w:sz w:val="20"/>
          <w:szCs w:val="20"/>
        </w:rPr>
      </w:pPr>
    </w:p>
    <w:p w14:paraId="000000AD"/>
    <w:p w14:paraId="000000AE">
      <w:pPr>
        <w:pStyle w:val="5"/>
        <w:keepNext w:val="0"/>
        <w:keepLines w:val="0"/>
        <w:widowControl w:val="0"/>
        <w:tabs>
          <w:tab w:val="left" w:pos="466"/>
        </w:tabs>
        <w:spacing w:before="236" w:after="0" w:line="240" w:lineRule="auto"/>
        <w:ind w:left="141" w:firstLine="0"/>
        <w:rPr>
          <w:sz w:val="20"/>
          <w:szCs w:val="20"/>
        </w:rPr>
      </w:pPr>
      <w:r>
        <w:rPr>
          <w:sz w:val="20"/>
          <w:szCs w:val="20"/>
          <w:rtl w:val="0"/>
        </w:rPr>
        <w:t xml:space="preserve">NTC de Knikkers is een  hybride school. </w:t>
      </w:r>
    </w:p>
    <w:p w14:paraId="000000AF">
      <w:pPr>
        <w:widowControl w:val="0"/>
        <w:tabs>
          <w:tab w:val="left" w:pos="466"/>
        </w:tabs>
        <w:spacing w:line="240" w:lineRule="auto"/>
        <w:rPr>
          <w:b/>
        </w:rPr>
      </w:pPr>
    </w:p>
    <w:p w14:paraId="000000B0">
      <w:pPr>
        <w:widowControl w:val="0"/>
        <w:tabs>
          <w:tab w:val="left" w:pos="466"/>
        </w:tabs>
        <w:spacing w:line="240" w:lineRule="auto"/>
        <w:rPr>
          <w:b/>
        </w:rPr>
      </w:pPr>
    </w:p>
    <w:p w14:paraId="000000B1">
      <w:pPr>
        <w:widowControl w:val="0"/>
        <w:tabs>
          <w:tab w:val="left" w:pos="466"/>
        </w:tabs>
        <w:spacing w:line="240" w:lineRule="auto"/>
        <w:ind w:left="141" w:firstLine="0"/>
        <w:rPr>
          <w:b/>
        </w:rPr>
      </w:pPr>
      <w:r>
        <w:rPr>
          <w:b/>
        </w:rPr>
        <w:drawing>
          <wp:inline distT="114300" distB="114300" distL="114300" distR="114300">
            <wp:extent cx="6289040" cy="340233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11" name="image3.png"/>
                    <pic:cNvPicPr preferRelativeResize="0"/>
                  </pic:nvPicPr>
                  <pic:blipFill>
                    <a:blip r:embed="rId8"/>
                    <a:srcRect/>
                    <a:stretch>
                      <a:fillRect/>
                    </a:stretch>
                  </pic:blipFill>
                  <pic:spPr>
                    <a:xfrm>
                      <a:off x="0" y="0"/>
                      <a:ext cx="6289597" cy="3402798"/>
                    </a:xfrm>
                    <a:prstGeom prst="rect">
                      <a:avLst/>
                    </a:prstGeom>
                  </pic:spPr>
                </pic:pic>
              </a:graphicData>
            </a:graphic>
          </wp:inline>
        </w:drawing>
      </w:r>
    </w:p>
    <w:p w14:paraId="000000B2">
      <w:pPr>
        <w:widowControl w:val="0"/>
        <w:spacing w:line="240" w:lineRule="auto"/>
        <w:rPr>
          <w:b/>
          <w:sz w:val="18"/>
          <w:szCs w:val="18"/>
        </w:rPr>
      </w:pPr>
      <w:r>
        <w:rPr>
          <w:b/>
          <w:sz w:val="18"/>
          <w:szCs w:val="18"/>
          <w:rtl w:val="0"/>
        </w:rPr>
        <w:t>Wat is het hybride school model van NTC De Knikkers?</w:t>
      </w:r>
    </w:p>
    <w:p w14:paraId="000000B3">
      <w:pPr>
        <w:widowControl w:val="0"/>
        <w:spacing w:line="240" w:lineRule="auto"/>
        <w:rPr>
          <w:b/>
          <w:sz w:val="18"/>
          <w:szCs w:val="18"/>
        </w:rPr>
      </w:pPr>
      <w:r>
        <w:rPr>
          <w:b/>
          <w:sz w:val="18"/>
          <w:szCs w:val="18"/>
          <w:rtl w:val="0"/>
        </w:rPr>
        <w:t>Een school waarbij er les gegeven wordt op een locatie, maar waarbij ook online lessen worden gegeven, om een aanbod te kunnen doen dat het beste is voor elke kind.</w:t>
      </w:r>
    </w:p>
    <w:p w14:paraId="000000B4">
      <w:pPr>
        <w:widowControl w:val="0"/>
        <w:spacing w:line="240" w:lineRule="auto"/>
        <w:rPr>
          <w:b/>
          <w:sz w:val="18"/>
          <w:szCs w:val="18"/>
        </w:rPr>
      </w:pPr>
      <w:r>
        <w:rPr>
          <w:b/>
          <w:sz w:val="18"/>
          <w:szCs w:val="18"/>
          <w:rtl w:val="0"/>
        </w:rPr>
        <w:t xml:space="preserve"> </w:t>
      </w:r>
    </w:p>
    <w:p w14:paraId="000000B5">
      <w:pPr>
        <w:widowControl w:val="0"/>
        <w:spacing w:line="240" w:lineRule="auto"/>
        <w:rPr>
          <w:b/>
          <w:sz w:val="18"/>
          <w:szCs w:val="18"/>
        </w:rPr>
      </w:pPr>
      <w:r>
        <w:rPr>
          <w:b/>
          <w:sz w:val="18"/>
          <w:szCs w:val="18"/>
          <w:u w:val="single"/>
          <w:rtl w:val="0"/>
        </w:rPr>
        <w:t>Kleuters en PO onderbouw</w:t>
      </w:r>
      <w:r>
        <w:rPr>
          <w:b/>
          <w:sz w:val="18"/>
          <w:szCs w:val="18"/>
          <w:rtl w:val="0"/>
        </w:rPr>
        <w:t>:</w:t>
      </w:r>
    </w:p>
    <w:p w14:paraId="000000B6">
      <w:pPr>
        <w:widowControl w:val="0"/>
        <w:spacing w:line="240" w:lineRule="auto"/>
        <w:rPr>
          <w:b/>
          <w:sz w:val="18"/>
          <w:szCs w:val="18"/>
        </w:rPr>
      </w:pPr>
      <w:r>
        <w:rPr>
          <w:b/>
          <w:sz w:val="18"/>
          <w:szCs w:val="18"/>
          <w:rtl w:val="0"/>
        </w:rPr>
        <w:t>Kleuters en PO Onderbouw leerlingen hebben in principe 100% les op locatie. Voor jonge kinderen is ‘samen’ en ‘spelenderwijs’ leren de meest effectieve methode. Dit is lastiger te realiseren via zoom en het is dan ook gebleken (in de pandemie) dat kleine kinderen online moeilijk hun aandacht konden vasthouden. Sinds de tweede helft van 2025 heeft de Knikkers weer een kleuter groep, bestaande uit 3 leerlingen.</w:t>
      </w:r>
    </w:p>
    <w:p w14:paraId="000000B7">
      <w:pPr>
        <w:widowControl w:val="0"/>
        <w:spacing w:line="240" w:lineRule="auto"/>
        <w:rPr>
          <w:b/>
          <w:sz w:val="18"/>
          <w:szCs w:val="18"/>
        </w:rPr>
      </w:pPr>
    </w:p>
    <w:p w14:paraId="000000B8">
      <w:pPr>
        <w:widowControl w:val="0"/>
        <w:spacing w:line="240" w:lineRule="auto"/>
        <w:rPr>
          <w:b/>
          <w:sz w:val="18"/>
          <w:szCs w:val="18"/>
        </w:rPr>
      </w:pPr>
      <w:r>
        <w:rPr>
          <w:b/>
          <w:sz w:val="18"/>
          <w:szCs w:val="18"/>
          <w:u w:val="single"/>
          <w:rtl w:val="0"/>
        </w:rPr>
        <w:t>De PO bovenbouw</w:t>
      </w:r>
      <w:r>
        <w:rPr>
          <w:b/>
          <w:sz w:val="18"/>
          <w:szCs w:val="18"/>
          <w:rtl w:val="0"/>
        </w:rPr>
        <w:t xml:space="preserve"> leerlingen hebben de helft van de lessen op locatie en de andere helft van de lessen via Zoom. Doel hiervan was meer leerlingen te bereiken (2x in de maand een eind rijden is toch beter in te plannen dan elke week) en een betere  / actievere / fitte  participatie in de lessen. We hebben in Argentinie te maken met lange lesdagen op de dagschool en lange reistijden / druk verkeer. Dit heeft impact op hoe de kinderen de Nederlandse les binnen komen en hoe goed ze tijdens die les kunnen meedoen. Zoom bleek in de pandemie ook een voordeel te hebben, dat kinderen soms fitter en actiever deelnamen vanuit hun huis. Lessen op locatie blijven enorm van waarde, maar afgewisseld met zoom lessen zien we een betere commitment van zowel ouders als leerlingen en een betere prestatie.</w:t>
      </w:r>
    </w:p>
    <w:p w14:paraId="000000B9">
      <w:pPr>
        <w:widowControl w:val="0"/>
        <w:numPr>
          <w:ilvl w:val="0"/>
          <w:numId w:val="2"/>
        </w:numPr>
        <w:spacing w:line="240" w:lineRule="auto"/>
        <w:ind w:left="720" w:hanging="360"/>
        <w:rPr>
          <w:b/>
          <w:sz w:val="18"/>
          <w:szCs w:val="18"/>
        </w:rPr>
      </w:pPr>
    </w:p>
    <w:p w14:paraId="000000BA">
      <w:pPr>
        <w:widowControl w:val="0"/>
        <w:spacing w:line="240" w:lineRule="auto"/>
        <w:rPr>
          <w:b/>
          <w:sz w:val="18"/>
          <w:szCs w:val="18"/>
        </w:rPr>
      </w:pPr>
      <w:r>
        <w:rPr>
          <w:b/>
          <w:sz w:val="18"/>
          <w:szCs w:val="18"/>
          <w:u w:val="single"/>
          <w:rtl w:val="0"/>
        </w:rPr>
        <w:t>Uitzonderingen</w:t>
      </w:r>
      <w:r>
        <w:rPr>
          <w:b/>
          <w:sz w:val="18"/>
          <w:szCs w:val="18"/>
          <w:rtl w:val="0"/>
        </w:rPr>
        <w:t xml:space="preserve"> zijn PO leerlingen die te ver van de school wonen, maar die via wekelijkse online lessen - aangevuld met cultuur dagen op locatie - wel kunnen deelnemen aan het onderwijs van de Knikkers. Voor deze groepen geldt een minimum leeftijd en een intake om vast te kunnen stellen dat ze voldoende vaardigheden en ‘maturiteit’ hebben om de lessen via de zoom te volgen en daarnaast voldoende ondersteuning thuis bij de huiswerk taken. </w:t>
      </w:r>
    </w:p>
    <w:p w14:paraId="000000BB">
      <w:pPr>
        <w:widowControl w:val="0"/>
        <w:spacing w:line="240" w:lineRule="auto"/>
        <w:rPr>
          <w:b/>
          <w:sz w:val="18"/>
          <w:szCs w:val="18"/>
        </w:rPr>
      </w:pPr>
    </w:p>
    <w:p w14:paraId="000000BC">
      <w:pPr>
        <w:widowControl w:val="0"/>
        <w:spacing w:line="240" w:lineRule="auto"/>
        <w:rPr>
          <w:b/>
          <w:sz w:val="18"/>
          <w:szCs w:val="18"/>
        </w:rPr>
      </w:pPr>
      <w:r>
        <w:rPr>
          <w:b/>
          <w:sz w:val="18"/>
          <w:szCs w:val="18"/>
          <w:u w:val="single"/>
          <w:rtl w:val="0"/>
        </w:rPr>
        <w:t>VO onderwijs</w:t>
      </w:r>
      <w:r>
        <w:rPr>
          <w:b/>
          <w:sz w:val="18"/>
          <w:szCs w:val="18"/>
          <w:rtl w:val="0"/>
        </w:rPr>
        <w:t xml:space="preserve"> kent een 75/25 balans in lessen online en op locatie. Deze kinderen zijn ouder, hebben een drukker leven naast hun lange dagen ‘dagschool’ met meer huiswerk, sport en sociale activiteiten. Om te zorgen dat we deze groep ouder wordende kinderen niet verliezen (wat veel gebeurde in het verleden), bieden we sinds 2 jaar VO onderwijs aan via zoom, aangevuld met 2-maandelijkse thema lessen op locatie (elke maand een les op locatie bleek niet haalbaar voor deze groep oudere kinderen). Kinderen in de VO leeftijd lieten in de pandemie dezelfde vooruitgang zien als in de voorafgaande jaren met lessen op locatie. De engagement was soms zelfs hoger. Ook kunnen er zo - indien nodig - bevoegde en ervaren VO leerkrachten vanuit het buitenland les geven.</w:t>
      </w:r>
    </w:p>
    <w:p w14:paraId="000000BD">
      <w:pPr>
        <w:widowControl w:val="0"/>
        <w:spacing w:line="240" w:lineRule="auto"/>
        <w:rPr>
          <w:b/>
          <w:sz w:val="18"/>
          <w:szCs w:val="18"/>
        </w:rPr>
      </w:pPr>
    </w:p>
    <w:p w14:paraId="000000BE">
      <w:pPr>
        <w:widowControl w:val="0"/>
        <w:spacing w:line="240" w:lineRule="auto"/>
        <w:rPr>
          <w:b/>
          <w:sz w:val="18"/>
          <w:szCs w:val="18"/>
        </w:rPr>
      </w:pPr>
      <w:r>
        <w:rPr>
          <w:b/>
          <w:sz w:val="18"/>
          <w:szCs w:val="18"/>
          <w:rtl w:val="0"/>
        </w:rPr>
        <w:t>Er is een grote ontwikkeling geweest in online methode platforms en ook in de kwaliteit van de zoom lessen (whiteboard functies, dictee apps etc.) en kinderen hebben hun draai gevonden met online lessen. Echter, lessen op locatie samen met andere kinderen zijn onmisbaar en dit blijft het fundament van de school.</w:t>
      </w:r>
    </w:p>
    <w:p w14:paraId="000000BF">
      <w:pPr>
        <w:widowControl w:val="0"/>
        <w:spacing w:line="240" w:lineRule="auto"/>
        <w:rPr>
          <w:b/>
          <w:sz w:val="18"/>
          <w:szCs w:val="18"/>
        </w:rPr>
      </w:pPr>
      <w:r>
        <w:rPr>
          <w:b/>
          <w:sz w:val="18"/>
          <w:szCs w:val="18"/>
          <w:rtl w:val="0"/>
        </w:rPr>
        <w:t xml:space="preserve"> </w:t>
      </w:r>
    </w:p>
    <w:p w14:paraId="000000C0">
      <w:pPr>
        <w:widowControl w:val="0"/>
        <w:spacing w:line="240" w:lineRule="auto"/>
        <w:rPr>
          <w:b/>
          <w:sz w:val="18"/>
          <w:szCs w:val="18"/>
        </w:rPr>
      </w:pPr>
    </w:p>
    <w:p w14:paraId="000000C1">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rPr>
          <w:b/>
          <w:sz w:val="18"/>
          <w:szCs w:val="18"/>
        </w:rPr>
      </w:pPr>
    </w:p>
    <w:p w14:paraId="000000C2">
      <w:pPr>
        <w:widowControl w:val="0"/>
        <w:spacing w:line="240" w:lineRule="auto"/>
        <w:rPr>
          <w:b/>
          <w:sz w:val="18"/>
          <w:szCs w:val="18"/>
        </w:rPr>
      </w:pPr>
    </w:p>
    <w:p w14:paraId="000000C3">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0" w:firstLine="13"/>
        <w:rPr>
          <w:rFonts w:ascii="Calibri" w:hAnsi="Calibri" w:eastAsia="Calibri" w:cs="Calibri"/>
          <w:b/>
          <w:sz w:val="18"/>
          <w:szCs w:val="18"/>
        </w:rPr>
      </w:pPr>
    </w:p>
    <w:p w14:paraId="000000C4">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5" w:firstLine="0"/>
        <w:rPr>
          <w:b/>
          <w:color w:val="000000"/>
          <w:sz w:val="18"/>
          <w:szCs w:val="18"/>
        </w:rPr>
      </w:pPr>
      <w:r>
        <w:rPr>
          <w:b/>
          <w:color w:val="000000"/>
          <w:sz w:val="18"/>
          <w:szCs w:val="18"/>
          <w:rtl w:val="0"/>
        </w:rPr>
        <w:t xml:space="preserve">3.1 Schoolgrootte en groepsindeling </w:t>
      </w:r>
    </w:p>
    <w:p w14:paraId="000000C5">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sz w:val="18"/>
          <w:szCs w:val="18"/>
        </w:rPr>
      </w:pPr>
      <w:r>
        <w:rPr>
          <w:b/>
          <w:color w:val="000000"/>
          <w:sz w:val="18"/>
          <w:szCs w:val="18"/>
          <w:rtl w:val="0"/>
        </w:rPr>
        <w:t>De school heeft  naast PO-onderwijs</w:t>
      </w:r>
      <w:r>
        <w:rPr>
          <w:b/>
          <w:sz w:val="18"/>
          <w:szCs w:val="18"/>
          <w:rtl w:val="0"/>
        </w:rPr>
        <w:t xml:space="preserve"> </w:t>
      </w:r>
      <w:r>
        <w:rPr>
          <w:b/>
          <w:color w:val="000000"/>
          <w:sz w:val="18"/>
          <w:szCs w:val="18"/>
          <w:rtl w:val="0"/>
        </w:rPr>
        <w:t xml:space="preserve">ook aanbod voor VO-leerlingen. Op dit moment zijn er 26 leerlingen ingeschreven op de school en 6 Stuiter leerlingen, die niet meetellen voor het officiële aantal voor de subsidie aanvraag. </w:t>
      </w:r>
      <w:r>
        <w:rPr>
          <w:b/>
          <w:sz w:val="18"/>
          <w:szCs w:val="18"/>
          <w:rtl w:val="0"/>
        </w:rPr>
        <w:t>De populatie bestaat uit r1 en r2 leerlingen. De meeste leerlingen krijgen les op de schoollocatie in Acassuso. Een klein aantal leerlingen ontvangt alleen online onderwijs ivm de grote afstand tot de schoollocatie. De meeste leerlingen zijn afkomstig uit een gezin met twee talen. De komende vier jaar zal dit naar verwachting nog zo blijven. De instroom van expat gezinnen is sterk afgenomen in het economisch zwakke en onstabiele Argentinië. Een aantal leerlingen uit gemengde gezinnen volgt het R1 onderwijs zonder grote problemen. Het merendeel van de kinderen ontwikkelt zich vrij breed, in lijn met de R2 doelen. Ondanks de achterstand tot leeftijdsgenoten in Nederland, groeien zij zowel verbaal als op schrift, door het aanbod van spelling, grammatica, taal en (begrijpend) lezen. De VO groep is groeiend, momenteel 10 leerlingen, waarvan zeker de helft op zal gaan voor het examen Nederlands in de komende jaren.</w:t>
      </w:r>
    </w:p>
    <w:p w14:paraId="000000C6">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right="58"/>
        <w:rPr>
          <w:b/>
          <w:color w:val="000000"/>
          <w:sz w:val="18"/>
          <w:szCs w:val="18"/>
        </w:rPr>
      </w:pPr>
      <w:r>
        <w:rPr>
          <w:b/>
          <w:color w:val="000000"/>
          <w:sz w:val="18"/>
          <w:szCs w:val="18"/>
          <w:rtl w:val="0"/>
        </w:rPr>
        <w:t xml:space="preserve">Vanaf 2022 zijn we wat betreft lesinhoud voor R1 zoveel mogelijk gelijk gaan lopen aan het Nederlandse systeem (echter het kind staat voorop bij de Knikkers en soms nemen we voor een groep wat langer de tijd, indien dit beter is voor de kinderen), wat betekent dat we in maart 2024 zijn gestart met het tweede semester van het betreffende schooljaar en na de wintervakantie (de maand juli) per 1 augustus 2024 starten met een nieuw schooljaar. </w:t>
      </w:r>
    </w:p>
    <w:p w14:paraId="000000C7">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color w:val="000000"/>
          <w:sz w:val="18"/>
          <w:szCs w:val="18"/>
        </w:rPr>
      </w:pPr>
      <w:r>
        <w:rPr>
          <w:b/>
          <w:color w:val="000000"/>
          <w:sz w:val="18"/>
          <w:szCs w:val="18"/>
          <w:rtl w:val="0"/>
        </w:rPr>
        <w:t>Per 1 augustus 2025 zullen de volgende groepen starten:</w:t>
      </w:r>
    </w:p>
    <w:p w14:paraId="000000C8">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color w:val="000000"/>
          <w:sz w:val="18"/>
          <w:szCs w:val="18"/>
        </w:rPr>
      </w:pPr>
      <w:r>
        <w:rPr>
          <w:b/>
          <w:color w:val="000000"/>
          <w:sz w:val="18"/>
          <w:szCs w:val="18"/>
          <w:rtl w:val="0"/>
        </w:rPr>
        <w:t>Kleuters – 4 leerlingen</w:t>
      </w:r>
    </w:p>
    <w:p w14:paraId="000000C9">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color w:val="000000"/>
          <w:sz w:val="18"/>
          <w:szCs w:val="18"/>
        </w:rPr>
      </w:pPr>
      <w:r>
        <w:rPr>
          <w:b/>
          <w:color w:val="000000"/>
          <w:sz w:val="18"/>
          <w:szCs w:val="18"/>
          <w:rtl w:val="0"/>
        </w:rPr>
        <w:t xml:space="preserve">PO onderbouw -  7 leerlingen </w:t>
      </w:r>
    </w:p>
    <w:p w14:paraId="000000CA">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color w:val="000000"/>
          <w:sz w:val="18"/>
          <w:szCs w:val="18"/>
        </w:rPr>
      </w:pPr>
      <w:r>
        <w:rPr>
          <w:b/>
          <w:color w:val="000000"/>
          <w:sz w:val="18"/>
          <w:szCs w:val="18"/>
          <w:rtl w:val="0"/>
        </w:rPr>
        <w:t>PO bovenbouw – 5 leerlingen</w:t>
      </w:r>
    </w:p>
    <w:p w14:paraId="000000CB">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58" w:firstLine="16"/>
        <w:rPr>
          <w:b/>
          <w:color w:val="000000"/>
          <w:sz w:val="18"/>
          <w:szCs w:val="18"/>
        </w:rPr>
      </w:pPr>
      <w:r>
        <w:rPr>
          <w:b/>
          <w:color w:val="000000"/>
          <w:sz w:val="18"/>
          <w:szCs w:val="18"/>
          <w:rtl w:val="0"/>
        </w:rPr>
        <w:t>VO – 10 leerlingen</w:t>
      </w:r>
    </w:p>
    <w:p w14:paraId="000000C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172" w:firstLine="5"/>
        <w:rPr>
          <w:b/>
          <w:color w:val="000000"/>
          <w:sz w:val="18"/>
          <w:szCs w:val="18"/>
        </w:rPr>
      </w:pPr>
      <w:r>
        <w:rPr>
          <w:b/>
          <w:color w:val="000000"/>
          <w:sz w:val="18"/>
          <w:szCs w:val="18"/>
          <w:rtl w:val="0"/>
        </w:rPr>
        <w:t xml:space="preserve">Sommige kinderen wonen meer dan 1,5 uur rijden van de leslocatie en hiervoor wordt dan ook meer gebruik gemaakt van Zoom. Zoom lessen zijn ook zeer effectief gebleken voor onze VO groepen, die lange dagen op hun dagschool maken en een actief leven buiten de school hebben. De meeste lessen gaan in VO dan ook via de Zoom, echter blijft het fysiek samen komen ook hier van groot belang. Door deze aanpak van de laatste jaren blijven meer kinderen bij de Knikkers als ze overgaan naar VO, met nu zelfs 10 leerlingen. </w:t>
      </w:r>
    </w:p>
    <w:p w14:paraId="000000CD">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172" w:firstLine="5"/>
        <w:rPr>
          <w:b/>
          <w:color w:val="000000"/>
          <w:sz w:val="18"/>
          <w:szCs w:val="18"/>
        </w:rPr>
      </w:pPr>
      <w:r>
        <w:rPr>
          <w:b/>
          <w:color w:val="000000"/>
          <w:sz w:val="18"/>
          <w:szCs w:val="18"/>
          <w:rtl w:val="0"/>
        </w:rPr>
        <w:t>We werken veelal met combinatiegroepen. Vanwege de verschillen in leeftijd en niveau van het Nederlands en het wisselende leerlingenaantal, is het niet altijd mogelijk om een doorgaande lijn in de groepsindeling te organiseren. De groepsindeling wordt ieder half jaar opnieuw geëvalueerd.</w:t>
      </w:r>
    </w:p>
    <w:p w14:paraId="000000CE">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172" w:firstLine="5"/>
        <w:rPr>
          <w:b/>
          <w:color w:val="000000"/>
          <w:sz w:val="20"/>
          <w:szCs w:val="20"/>
        </w:rPr>
      </w:pPr>
      <w:r>
        <w:rPr>
          <w:b/>
          <w:color w:val="000000"/>
          <w:sz w:val="20"/>
          <w:szCs w:val="20"/>
          <w:rtl w:val="0"/>
        </w:rPr>
        <w:t xml:space="preserve">3.2 Onderwijsaanbod: doelen en methoden </w:t>
      </w:r>
    </w:p>
    <w:p w14:paraId="000000CF">
      <w:pPr>
        <w:widowControl w:val="0"/>
        <w:spacing w:before="140" w:line="300" w:lineRule="auto"/>
        <w:ind w:left="132" w:right="407" w:firstLine="0"/>
        <w:rPr>
          <w:b/>
          <w:sz w:val="18"/>
          <w:szCs w:val="18"/>
        </w:rPr>
      </w:pPr>
      <w:r>
        <w:rPr>
          <w:b/>
          <w:sz w:val="18"/>
          <w:szCs w:val="18"/>
          <w:rtl w:val="0"/>
        </w:rPr>
        <w:t>Onze school richt zich op de ontwikkeling van de Nederlandse taalvaardigheid en de culturele vorming van de leerlingen. Daarbij komen alle taaldomeinen aan bod. Daartoe bieden we een passend aanbod dat dekkend is voor de kerndoelen en referentieniveaus taal. Wij maken hiervoor gebruik van de NTC- Leerlijnen. Ons aanbod is evenwichtig verdeeld over de leerjaren en sluit aan bij de kenmerken van onze leerlingen.</w:t>
      </w:r>
    </w:p>
    <w:p w14:paraId="000000D0">
      <w:pPr>
        <w:widowControl w:val="0"/>
        <w:spacing w:before="121" w:line="300" w:lineRule="auto"/>
        <w:ind w:left="132" w:right="248" w:firstLine="0"/>
        <w:rPr>
          <w:b/>
          <w:sz w:val="18"/>
          <w:szCs w:val="18"/>
        </w:rPr>
      </w:pPr>
      <w:r>
        <w:rPr>
          <w:b/>
          <w:sz w:val="18"/>
          <w:szCs w:val="18"/>
          <w:rtl w:val="0"/>
        </w:rPr>
        <w:t>De doelen in het lesprogramma worden in het begin van het jaar vastgesteld aan de hand van de NTC-leerlijnen van het NOB.</w:t>
      </w:r>
    </w:p>
    <w:p w14:paraId="000000D1">
      <w:pPr>
        <w:widowControl w:val="0"/>
        <w:spacing w:before="121" w:line="300" w:lineRule="auto"/>
        <w:ind w:left="132" w:right="407" w:firstLine="0"/>
        <w:rPr>
          <w:b/>
          <w:sz w:val="18"/>
          <w:szCs w:val="18"/>
        </w:rPr>
      </w:pPr>
      <w:r>
        <w:rPr>
          <w:b/>
          <w:sz w:val="18"/>
          <w:szCs w:val="18"/>
          <w:rtl w:val="0"/>
        </w:rPr>
        <w:t>We maken in de lesgroepen onderscheid tussen richting 1- en richting 2- leerlingen, waarbij richting 1- leerlingen leerlingen zijn die hetzelfde niveau hebben als leeftijdsgenoten in Nederland, richting 2-leerlingen een achterstand hebben op leeftijdsgenoten in Nederland, maar wel beschikken over een basis van het Nederlands, het thuis met enige regelmaat spreken en dat voor de verdere ontwikkeling van het Nederlands op alle taaldomeinen wordt gewerkt (of bij jonge kinderen die net zijn begonnen op de knikkers wordt er een plan opgesteld om binnen een jaar op alle taaldomeinen te kunnen werken, met initieel meer focus op woordenschat en verbale vaardigheden).</w:t>
      </w:r>
    </w:p>
    <w:p w14:paraId="000000D2">
      <w:pPr>
        <w:widowControl w:val="0"/>
        <w:spacing w:before="121" w:line="300" w:lineRule="auto"/>
        <w:ind w:left="132" w:right="407" w:firstLine="0"/>
        <w:rPr>
          <w:b/>
          <w:sz w:val="18"/>
          <w:szCs w:val="18"/>
        </w:rPr>
      </w:pPr>
      <w:r>
        <w:rPr>
          <w:b/>
          <w:sz w:val="18"/>
          <w:szCs w:val="18"/>
          <w:rtl w:val="0"/>
        </w:rPr>
        <w:t>Onze school heeft ervoor gekozen een onderwijsaanbod te verschaffen voor 2 van de 3 de NTC-richtingen. Voor Richting 3 kinderen die Nederlands als nieuwe taal willen leren en praktisch geen basis hebben, hebben we geen passende groepen. Wanneer het kind nog niet eerder Nederlands onderwijs heeft gevolgd, zal de onderwijscoördinator bepalen of het kind in aanmerking komt voor de lessen bij de Knikkers. Bij de onderbouw is het geen vereiste dat een kind Nederlands spreekt, maar hij of zij moet de les grotendeels in het Nederlands kunnen volgen, bouwend op de (kleine) basis die in het gezin is gelegd. Voor de middenbouw geldt dat kinderen een niveau Nederlands moeten bezitten om toegelaten te kunnen worden bij de Knikkers. Bij leerlingen die van andere Nederlandse scholen komen wordt de ouders gevraagd naar (indien aanwezig) het leerlingendossier van de vorige door het kind bezochte Nederlandse school. Wanneer een kind gaat deelnemen aan de lessen wordt van de ouders verwacht dat zij thuis ook aandacht zullen besteden aan de Nederlandse taal: Dit wordt met de ouders bij de intake besproken.</w:t>
      </w:r>
    </w:p>
    <w:p w14:paraId="000000D3">
      <w:pPr>
        <w:widowControl w:val="0"/>
        <w:spacing w:before="124" w:line="300" w:lineRule="auto"/>
        <w:ind w:left="132" w:right="250" w:firstLine="0"/>
        <w:rPr>
          <w:b/>
          <w:sz w:val="18"/>
          <w:szCs w:val="18"/>
        </w:rPr>
      </w:pPr>
      <w:r>
        <w:rPr>
          <w:b/>
          <w:sz w:val="18"/>
          <w:szCs w:val="18"/>
          <w:rtl w:val="0"/>
        </w:rPr>
        <w:t>Kinderen vanaf 4 jaar zijn welkom. Sinds augustus 2025 hebben we weer kleutergroep. Voor kleuters ziet het leerstofaanbod er als volgt uit: We werken met liedjes, verhalen, prentenboeken en rijmpjes. Langzaam zullen de leerlingen steeds meer de letters en klanken gaan onderscheiden, met behulp van de werkjes die in thema aansluiten bij de liedjes en de prentenboeken. Ook de methode lijn 3 kan al worden ingezet, mits het niveau van letters en lezen op de dagschool in de eerste taal dit toelaat.</w:t>
      </w:r>
    </w:p>
    <w:p w14:paraId="000000D4">
      <w:pPr>
        <w:widowControl w:val="0"/>
        <w:spacing w:before="122" w:line="300" w:lineRule="auto"/>
        <w:ind w:left="132" w:right="250" w:firstLine="0"/>
        <w:rPr>
          <w:b/>
          <w:sz w:val="18"/>
          <w:szCs w:val="18"/>
        </w:rPr>
      </w:pPr>
      <w:r>
        <w:rPr>
          <w:b/>
          <w:sz w:val="18"/>
          <w:szCs w:val="18"/>
          <w:rtl w:val="0"/>
        </w:rPr>
        <w:t>Voor de leerlingen van groep 3 werken we met methode Lijn 3, die goed aansluit of Staal. Ook werken we met boekjes van Veilig Leren Lezen. Ook zullen we hen indien nodig ondersteunen met de methode Hotel Hallo.</w:t>
      </w:r>
    </w:p>
    <w:p w14:paraId="000000D5">
      <w:pPr>
        <w:widowControl w:val="0"/>
        <w:spacing w:before="121" w:line="300" w:lineRule="auto"/>
        <w:ind w:left="132" w:firstLine="0"/>
        <w:rPr>
          <w:b/>
          <w:sz w:val="18"/>
          <w:szCs w:val="18"/>
        </w:rPr>
      </w:pPr>
      <w:r>
        <w:rPr>
          <w:b/>
          <w:sz w:val="18"/>
          <w:szCs w:val="18"/>
          <w:rtl w:val="0"/>
        </w:rPr>
        <w:t>Met de leerlingen van groep 4 tot en met 8 werken we met de methode Staal en Nieuwsbegrip. De schrijf- en spreekopdrachten worden door de leerkracht zelf toegevoegd en worden altijd in context aangeboden.</w:t>
      </w:r>
    </w:p>
    <w:p w14:paraId="000000D6">
      <w:pPr>
        <w:widowControl w:val="0"/>
        <w:spacing w:before="76" w:line="300" w:lineRule="auto"/>
        <w:ind w:left="132" w:right="248" w:firstLine="0"/>
        <w:rPr>
          <w:b/>
          <w:sz w:val="18"/>
          <w:szCs w:val="18"/>
        </w:rPr>
      </w:pPr>
      <w:r>
        <w:rPr>
          <w:b/>
          <w:sz w:val="18"/>
          <w:szCs w:val="18"/>
          <w:rtl w:val="0"/>
        </w:rPr>
        <w:t>Met de leerlingen in richting 2 met een wat grotere achterstand werken we met de methode Hotel Hallo en Plein 16, als ook met Nieuwsbegrip. Ook wordt er geoefend met de snelleeskaarten van Vloeiend en Vlot. Daarnaast wordt ook hier zo snel als de groep er klaar voor is de methode Staal (met name Spelling) ingezet.</w:t>
      </w:r>
    </w:p>
    <w:p w14:paraId="000000D7">
      <w:pPr>
        <w:widowControl w:val="0"/>
        <w:spacing w:before="121" w:line="300" w:lineRule="auto"/>
        <w:ind w:left="132" w:right="309" w:firstLine="0"/>
        <w:jc w:val="both"/>
        <w:rPr>
          <w:b/>
          <w:sz w:val="18"/>
          <w:szCs w:val="18"/>
        </w:rPr>
      </w:pPr>
      <w:r>
        <w:rPr>
          <w:b/>
          <w:sz w:val="18"/>
          <w:szCs w:val="18"/>
          <w:rtl w:val="0"/>
        </w:rPr>
        <w:t>Voor de leerlingen van het middelbaar onderwijs werken we met de methode Nieuw Nederlands en Plot26. Hierbij wordt het lezen van fictie en zakelijke teksten gestimuleerd. Leerlingen werken op hun eigen niveau, maar ook samen als dat nodig mocht zijn. Bij deze methode Plot 26 kan goed worden gedifferentieerd en leent zich uitstekend voor richting 2 leerlingen. Nieuw Nederlands leent zich beter voor richting 1 om de leerdoelen te behalen en te werken richting het  cnavt- examen.</w:t>
      </w:r>
    </w:p>
    <w:p w14:paraId="000000D8">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20" w:firstLine="16"/>
        <w:rPr>
          <w:b/>
          <w:sz w:val="18"/>
          <w:szCs w:val="18"/>
        </w:rPr>
      </w:pPr>
    </w:p>
    <w:p w14:paraId="000000D9">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5" w:firstLine="0"/>
        <w:rPr>
          <w:b/>
          <w:color w:val="000000"/>
          <w:sz w:val="18"/>
          <w:szCs w:val="18"/>
        </w:rPr>
      </w:pPr>
      <w:r>
        <w:rPr>
          <w:b/>
          <w:color w:val="000000"/>
          <w:sz w:val="18"/>
          <w:szCs w:val="18"/>
          <w:rtl w:val="0"/>
        </w:rPr>
        <w:t xml:space="preserve">3.3 Huiswerk </w:t>
      </w:r>
    </w:p>
    <w:p w14:paraId="000000DA">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5" w:right="229" w:firstLine="8"/>
        <w:rPr>
          <w:b/>
          <w:color w:val="000000"/>
          <w:sz w:val="18"/>
          <w:szCs w:val="18"/>
        </w:rPr>
      </w:pPr>
      <w:r>
        <w:rPr>
          <w:b/>
          <w:color w:val="000000"/>
          <w:sz w:val="18"/>
          <w:szCs w:val="18"/>
          <w:rtl w:val="0"/>
        </w:rPr>
        <w:t xml:space="preserve">Het onderwijsaanbod wordt voornamelijk gerealiseerd tijdens de Nederlandse lessen. Daarnaast zal er 1,5 uur huiswerk aanbod worden meegegeven zodat de aangeboden stof ook later in de week nog wordt </w:t>
      </w:r>
    </w:p>
    <w:p w14:paraId="000000DB">
      <w:pPr>
        <w:widowControl w:val="0"/>
        <w:pBdr>
          <w:top w:val="none" w:color="auto" w:sz="0" w:space="0"/>
          <w:left w:val="none" w:color="auto" w:sz="0" w:space="0"/>
          <w:bottom w:val="none" w:color="auto" w:sz="0" w:space="0"/>
          <w:right w:val="none" w:color="auto" w:sz="0" w:space="0"/>
          <w:between w:val="none" w:color="auto" w:sz="0" w:space="0"/>
        </w:pBdr>
        <w:spacing w:line="245" w:lineRule="auto"/>
        <w:ind w:left="161" w:right="146" w:hanging="5"/>
        <w:rPr>
          <w:b/>
          <w:color w:val="000000"/>
          <w:sz w:val="18"/>
          <w:szCs w:val="18"/>
        </w:rPr>
      </w:pPr>
      <w:r>
        <w:rPr>
          <w:b/>
          <w:color w:val="000000"/>
          <w:sz w:val="18"/>
          <w:szCs w:val="18"/>
          <w:rtl w:val="0"/>
        </w:rPr>
        <w:t xml:space="preserve">geoefend. Deze herhaling is nodig om de nieuw geleerde stof te laten beklijven. </w:t>
      </w:r>
    </w:p>
    <w:p w14:paraId="000000DC">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27" w:firstLine="12"/>
        <w:rPr>
          <w:b/>
          <w:color w:val="000000"/>
          <w:sz w:val="18"/>
          <w:szCs w:val="18"/>
        </w:rPr>
      </w:pPr>
      <w:r>
        <w:rPr>
          <w:b/>
          <w:color w:val="000000"/>
          <w:sz w:val="18"/>
          <w:szCs w:val="18"/>
          <w:rtl w:val="0"/>
        </w:rPr>
        <w:t xml:space="preserve">In de lessen wordt er tijd besteed aan technisch lezen door middel van voorlezen door docent en leerlingen zelf. Het is daarnaast belangrijk dat leerlingen thuis regelmatig Nederlandse boeken lezen. Er zijn boeken beschikbaar voor ouders om te lenen van de school. </w:t>
      </w:r>
      <w:r>
        <w:rPr>
          <w:b/>
          <w:sz w:val="18"/>
          <w:szCs w:val="18"/>
          <w:rtl w:val="0"/>
        </w:rPr>
        <w:t xml:space="preserve">Sinds september 2023 is een ouder verantwoordelijk voor de Knikker bibliotheek en kunnen kinderen elke maand ‘verse’ boeken lenen. De bibliotheek komt elke maand naar de school en per groep gaan de kinderen langs de ‘bieb’ en wordt er ter inspiratie ook vaak wat voorgelezen. Verder </w:t>
      </w:r>
      <w:r>
        <w:rPr>
          <w:b/>
          <w:color w:val="000000"/>
          <w:sz w:val="18"/>
          <w:szCs w:val="18"/>
          <w:rtl w:val="0"/>
        </w:rPr>
        <w:t xml:space="preserve">verwijzen wij ouders ook naar online lezen met een abonnement op de OBA. Er is een digitaal-lezen abonnement gratis voor kinderen tot 18 jaar. </w:t>
      </w:r>
    </w:p>
    <w:p w14:paraId="000000DD">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i/>
          <w:color w:val="000000"/>
          <w:sz w:val="18"/>
          <w:szCs w:val="18"/>
        </w:rPr>
      </w:pPr>
      <w:r>
        <w:rPr>
          <w:b/>
          <w:color w:val="000000"/>
          <w:sz w:val="18"/>
          <w:szCs w:val="18"/>
          <w:u w:val="single"/>
          <w:rtl w:val="0"/>
        </w:rPr>
        <w:t>De inzet van ouders is essentieel om de Nederlandse taal te leren</w:t>
      </w:r>
      <w:r>
        <w:rPr>
          <w:b/>
          <w:i/>
          <w:color w:val="000000"/>
          <w:sz w:val="18"/>
          <w:szCs w:val="18"/>
          <w:u w:val="single"/>
          <w:rtl w:val="0"/>
        </w:rPr>
        <w:t>.</w:t>
      </w:r>
      <w:r>
        <w:rPr>
          <w:b/>
          <w:i/>
          <w:color w:val="000000"/>
          <w:sz w:val="18"/>
          <w:szCs w:val="18"/>
          <w:rtl w:val="0"/>
        </w:rPr>
        <w:t xml:space="preserve"> </w:t>
      </w:r>
    </w:p>
    <w:p w14:paraId="000000D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9" w:right="94" w:firstLine="0"/>
        <w:rPr>
          <w:b/>
          <w:color w:val="000000"/>
          <w:sz w:val="18"/>
          <w:szCs w:val="18"/>
        </w:rPr>
      </w:pPr>
      <w:r>
        <w:rPr>
          <w:b/>
          <w:color w:val="000000"/>
          <w:sz w:val="18"/>
          <w:szCs w:val="18"/>
          <w:rtl w:val="0"/>
        </w:rPr>
        <w:t xml:space="preserve">Wij zijn ons bewust van het feit dat wanneer het oefenen van de Nederlandse taal beperkt blijft tot gemiddeld </w:t>
      </w:r>
      <w:r>
        <w:rPr>
          <w:b/>
          <w:sz w:val="18"/>
          <w:szCs w:val="18"/>
          <w:rtl w:val="0"/>
        </w:rPr>
        <w:t>3</w:t>
      </w:r>
      <w:r>
        <w:rPr>
          <w:b/>
          <w:color w:val="000000"/>
          <w:sz w:val="18"/>
          <w:szCs w:val="18"/>
          <w:rtl w:val="0"/>
        </w:rPr>
        <w:t xml:space="preserve"> uur per week tijdens de NTC- lessen en het huiswerkaanbod, dit andere resultaten zal geven dan wanneer de kinderen de hele week op een Nederlandse school lessen zouden volgen. We kunnen niet verwachten dat slechts </w:t>
      </w:r>
      <w:r>
        <w:rPr>
          <w:b/>
          <w:sz w:val="18"/>
          <w:szCs w:val="18"/>
          <w:rtl w:val="0"/>
        </w:rPr>
        <w:t>3</w:t>
      </w:r>
      <w:r>
        <w:rPr>
          <w:b/>
          <w:color w:val="000000"/>
          <w:sz w:val="18"/>
          <w:szCs w:val="18"/>
          <w:rtl w:val="0"/>
        </w:rPr>
        <w:t xml:space="preserve"> uur Nederlandse les per week voldoende is om grote vooruitgang te boeken. Taal heeft tijd en herhaling nodig om in te slijten. Het is daarom essentieel dat het kind, bij voorkeur dagelijks, met de Nederlandse taal in aanraking komt. Een onderzoek laat zien dat een kind pas begint te praten als hij 20 procent van de tijd in het Nederlands wordt aangesproken. Dat is dus een mininum waaraan de Nederlandse ouder(s) zou moeten voldoen om de kinderen optimaal te kunnen laten profiteren van de lessen. </w:t>
      </w:r>
    </w:p>
    <w:p w14:paraId="000000DF">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5" w:firstLine="0"/>
        <w:rPr>
          <w:b/>
          <w:color w:val="000000"/>
          <w:sz w:val="18"/>
          <w:szCs w:val="18"/>
        </w:rPr>
      </w:pPr>
      <w:r>
        <w:rPr>
          <w:b/>
          <w:color w:val="000000"/>
          <w:sz w:val="18"/>
          <w:szCs w:val="18"/>
          <w:rtl w:val="0"/>
        </w:rPr>
        <w:t xml:space="preserve">3.4 Culturele activiteiten en het Knikkerkamp </w:t>
      </w:r>
    </w:p>
    <w:p w14:paraId="000000E0">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 xml:space="preserve">Naast de Nederlandse taal, maken ook de Nederlandse en Vlaamse cultuur deel uit van ons onderwijsaanbod. Per jaar worden er 4 culturele dagen ingepland, </w:t>
      </w:r>
    </w:p>
    <w:p w14:paraId="000000E1">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rond Koningsdag (april PO en VO samen)</w:t>
      </w:r>
    </w:p>
    <w:p w14:paraId="000000E2">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sz w:val="18"/>
          <w:szCs w:val="18"/>
        </w:rPr>
      </w:pPr>
      <w:r>
        <w:rPr>
          <w:b/>
          <w:sz w:val="18"/>
          <w:szCs w:val="18"/>
          <w:rtl w:val="0"/>
        </w:rPr>
        <w:t>In juni (PO en VO, 2 verschillende dagen en themas)</w:t>
      </w:r>
    </w:p>
    <w:p w14:paraId="000000E3">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rond Kinderboekenweek (PO in oktober) / ander (vaak literatuur gerelateerd) evenement voor VO in september</w:t>
      </w:r>
    </w:p>
    <w:p w14:paraId="000000E4">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en Sinterklaas (PO in december) / ander thema evenement voor VO (eerste week december)</w:t>
      </w:r>
    </w:p>
    <w:p w14:paraId="000000E5">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Deze culturele activiteiten naast de lessen zijn niet facultatief maar onderdeel van het curriculum. Als de groepsgrootte en de samenstelling ervan het toelaat, wordt een Knikkerkamp georganiseerd in november/december gedurende twee dagen. Voor de leerlingen van het voortgezet onderwijs worden er culturele middagen/avonden gehouden, die in het teken staan van films, series, muziek en cabaret en daarmee allerhande culturele thema’s aansnijden.</w:t>
      </w:r>
    </w:p>
    <w:p w14:paraId="000000E6">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43" w:firstLine="9"/>
        <w:rPr>
          <w:b/>
          <w:color w:val="000000"/>
          <w:sz w:val="18"/>
          <w:szCs w:val="18"/>
        </w:rPr>
      </w:pPr>
      <w:r>
        <w:rPr>
          <w:b/>
          <w:color w:val="000000"/>
          <w:sz w:val="18"/>
          <w:szCs w:val="18"/>
          <w:rtl w:val="0"/>
        </w:rPr>
        <w:t xml:space="preserve">4 De zorg voor leerlingen </w:t>
      </w:r>
    </w:p>
    <w:p w14:paraId="000000E7">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1" w:firstLine="0"/>
        <w:rPr>
          <w:b/>
          <w:color w:val="000000"/>
          <w:sz w:val="18"/>
          <w:szCs w:val="18"/>
        </w:rPr>
      </w:pPr>
      <w:r>
        <w:rPr>
          <w:b/>
          <w:color w:val="000000"/>
          <w:sz w:val="18"/>
          <w:szCs w:val="18"/>
          <w:rtl w:val="0"/>
        </w:rPr>
        <w:t xml:space="preserve">4.1 Leerlingvolgsysteem </w:t>
      </w:r>
    </w:p>
    <w:p w14:paraId="000000E8">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257" w:firstLine="3"/>
        <w:rPr>
          <w:b/>
          <w:color w:val="000000"/>
          <w:sz w:val="18"/>
          <w:szCs w:val="18"/>
        </w:rPr>
      </w:pPr>
      <w:r>
        <w:rPr>
          <w:b/>
          <w:color w:val="000000"/>
          <w:sz w:val="18"/>
          <w:szCs w:val="18"/>
          <w:rtl w:val="0"/>
        </w:rPr>
        <w:t>Ons ‘Leerlingvolgsysteem’, bestaat uit observaties door de leerkracht, verwerkt in wekelijks bijgehouden logboeken, methode gebonden toetsen en landelijk genormeerde toetsen, zoals Diatoets.</w:t>
      </w:r>
    </w:p>
    <w:p w14:paraId="000000E9">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257" w:firstLine="3"/>
        <w:rPr>
          <w:b/>
          <w:color w:val="000000"/>
          <w:sz w:val="18"/>
          <w:szCs w:val="18"/>
        </w:rPr>
      </w:pPr>
      <w:r>
        <w:rPr>
          <w:b/>
          <w:color w:val="000000"/>
          <w:sz w:val="18"/>
          <w:szCs w:val="18"/>
          <w:rtl w:val="0"/>
        </w:rPr>
        <w:t xml:space="preserve">Om de vorderingen van de leerlingen te volgen en vast te leggen en – net zo belangrijk - handvatten te krijgen waar en hoe eventueel extra bij te sturen, zijn we per 2024 overgegaan op de Diatoetsen, voor zowel PO als VO.  </w:t>
      </w:r>
    </w:p>
    <w:p w14:paraId="000000EA">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257" w:firstLine="3"/>
        <w:rPr>
          <w:b/>
          <w:color w:val="000000"/>
          <w:sz w:val="18"/>
          <w:szCs w:val="18"/>
        </w:rPr>
      </w:pPr>
      <w:r>
        <w:rPr>
          <w:b/>
          <w:color w:val="000000"/>
          <w:sz w:val="18"/>
          <w:szCs w:val="18"/>
          <w:rtl w:val="0"/>
        </w:rPr>
        <w:t xml:space="preserve">Diatoets is ons inziens een meer kindvriendelijke methode, aangezien het adaptieve toetsen zijn. Het andere voordeel ten opzichte van de Cito methode - die we eerder hanteerden - is dat het leerlingvolgsysteem doorloopt van PO naar VO, vanaf groep 3 tot eind VO en het eventueel te behalen cnavt certificaat. Diataal biedt profiel analyses van sterke en ontwikkelingspunten en is daarmee ook actiegerichter dan Cito, is onze mening na de eerste toets rondes met Diatoets. </w:t>
      </w:r>
    </w:p>
    <w:p w14:paraId="000000EB">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49" w:firstLine="3"/>
        <w:rPr>
          <w:b/>
          <w:color w:val="000000"/>
          <w:sz w:val="18"/>
          <w:szCs w:val="18"/>
        </w:rPr>
      </w:pPr>
    </w:p>
    <w:p w14:paraId="000000EC">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49" w:firstLine="3"/>
        <w:rPr>
          <w:b/>
          <w:color w:val="000000"/>
          <w:sz w:val="18"/>
          <w:szCs w:val="18"/>
        </w:rPr>
      </w:pPr>
      <w:r>
        <w:rPr>
          <w:b/>
          <w:color w:val="000000"/>
          <w:sz w:val="18"/>
          <w:szCs w:val="18"/>
          <w:rtl w:val="0"/>
        </w:rPr>
        <w:t xml:space="preserve">Van elke leerling word teen leerling dossier bijgehouden. Daarin worden, naast de resultaten van toetsen en observaties, gegevens opgenomen van de leerling-besprekingen, oudergesprekken, rapporten en eventuele speciale onderzoeken en handelingsplannen. Van iedere leerling wordt een logboek bijgehouden. Het leerling-dossier is alleen toegankelijk voor de groepsleerkracht en de onderwijscoördinator. Ook ouders kunnen altijd het leerling-dossier van hun kind inzien. </w:t>
      </w:r>
    </w:p>
    <w:p w14:paraId="000000ED">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2" w:right="32" w:firstLine="11"/>
        <w:rPr>
          <w:b/>
          <w:color w:val="000000"/>
          <w:sz w:val="18"/>
          <w:szCs w:val="18"/>
        </w:rPr>
      </w:pPr>
      <w:r>
        <w:rPr>
          <w:b/>
          <w:color w:val="000000"/>
          <w:sz w:val="18"/>
          <w:szCs w:val="18"/>
          <w:rtl w:val="0"/>
        </w:rPr>
        <w:t xml:space="preserve">De map wordt niet alleen gebruikt om de ontwikkeling van het kind te volgen, maar bij een eventuele overgang naar een andere school zal deze map de nieuwe school een goed beeld van het kind geven. Leerling-dossiers zijn eigendom van het bevoegde gezag van de school. Bij een overgang van een kind naar een andere school blijft het originele dossier op school, zodat daar bij navraag op een later tijdstip door de school op kan worden teruggevallen. De nieuwe school ontvangt naast het onderwijskundige rapport een kopie van de belangrijkste stukken uit het dossier. Twee maal per jaar worden de resultaten weergegeven in een rapport. Wij nodigen dan de ouders uit om de vorderingen te bespreken tijdens een 10-minuten gesprek. </w:t>
      </w:r>
    </w:p>
    <w:p w14:paraId="000000EE">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1" w:firstLine="0"/>
        <w:rPr>
          <w:b/>
          <w:color w:val="000000"/>
          <w:sz w:val="18"/>
          <w:szCs w:val="18"/>
        </w:rPr>
      </w:pPr>
      <w:r>
        <w:rPr>
          <w:b/>
          <w:color w:val="000000"/>
          <w:sz w:val="18"/>
          <w:szCs w:val="18"/>
          <w:rtl w:val="0"/>
        </w:rPr>
        <w:t xml:space="preserve">4.2 Toetsing </w:t>
      </w:r>
    </w:p>
    <w:p w14:paraId="000000EF">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63" w:firstLine="0"/>
        <w:rPr>
          <w:b/>
          <w:color w:val="000000"/>
          <w:sz w:val="18"/>
          <w:szCs w:val="18"/>
        </w:rPr>
      </w:pPr>
      <w:r>
        <w:rPr>
          <w:b/>
          <w:color w:val="000000"/>
          <w:sz w:val="18"/>
          <w:szCs w:val="18"/>
          <w:rtl w:val="0"/>
        </w:rPr>
        <w:t xml:space="preserve">Primair onderwijs </w:t>
      </w:r>
    </w:p>
    <w:p w14:paraId="000000F0">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114" w:firstLine="16"/>
        <w:rPr>
          <w:b/>
          <w:color w:val="000000"/>
          <w:sz w:val="18"/>
          <w:szCs w:val="18"/>
        </w:rPr>
      </w:pPr>
      <w:r>
        <w:rPr>
          <w:b/>
          <w:color w:val="000000"/>
          <w:sz w:val="18"/>
          <w:szCs w:val="18"/>
          <w:rtl w:val="0"/>
        </w:rPr>
        <w:t xml:space="preserve">De school maakt gebruik van methodegebonden toetsen en landelijk genormeerde toetsen (Diatoets). De methodegebonden toetsen worden afgenomen tijdens de lessen op verschillende momenten gedurende het schooljaar. Voor toetsen van Diatoets volgt de school de richtlijnen zoals opgesteld door het NOB. De kinderen van groep 3 t/m 8 worden getoetst op de vakgebieden spelling, technisch lezen (DMT/AVI) en begrijpend lezen. </w:t>
      </w:r>
    </w:p>
    <w:p w14:paraId="000000F1">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114" w:firstLine="16"/>
        <w:rPr>
          <w:b/>
          <w:color w:val="000000"/>
          <w:sz w:val="18"/>
          <w:szCs w:val="18"/>
        </w:rPr>
      </w:pPr>
      <w:r>
        <w:rPr>
          <w:b/>
          <w:color w:val="000000"/>
          <w:sz w:val="18"/>
          <w:szCs w:val="18"/>
          <w:rtl w:val="0"/>
        </w:rPr>
        <w:t>Vanaf groep 3: DMT/AVI</w:t>
      </w:r>
    </w:p>
    <w:p w14:paraId="000000F2">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114" w:firstLine="16"/>
        <w:rPr>
          <w:b/>
          <w:color w:val="000000"/>
          <w:sz w:val="18"/>
          <w:szCs w:val="18"/>
        </w:rPr>
      </w:pPr>
      <w:r>
        <w:rPr>
          <w:b/>
          <w:color w:val="000000"/>
          <w:sz w:val="18"/>
          <w:szCs w:val="18"/>
          <w:rtl w:val="0"/>
        </w:rPr>
        <w:t xml:space="preserve">Vanaf groep 4: spelling </w:t>
      </w:r>
    </w:p>
    <w:p w14:paraId="000000F3">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114" w:firstLine="16"/>
        <w:rPr>
          <w:b/>
          <w:color w:val="000000"/>
          <w:sz w:val="18"/>
          <w:szCs w:val="18"/>
        </w:rPr>
      </w:pPr>
      <w:r>
        <w:rPr>
          <w:b/>
          <w:color w:val="000000"/>
          <w:sz w:val="18"/>
          <w:szCs w:val="18"/>
          <w:rtl w:val="0"/>
        </w:rPr>
        <w:t>Vanaf groep 5: begrijpend lezen</w:t>
      </w:r>
    </w:p>
    <w:p w14:paraId="000000F4">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7" w:right="114" w:firstLine="16"/>
        <w:rPr>
          <w:b/>
          <w:color w:val="000000"/>
          <w:sz w:val="18"/>
          <w:szCs w:val="18"/>
        </w:rPr>
      </w:pPr>
      <w:r>
        <w:rPr>
          <w:b/>
          <w:color w:val="000000"/>
          <w:sz w:val="18"/>
          <w:szCs w:val="18"/>
          <w:rtl w:val="0"/>
        </w:rPr>
        <w:t xml:space="preserve">De toetsen worden 1 x per jaar afgenomen (in september). De toetsen voor technisch lezen (AVI en DMT) worden vaak ook in maart afgenomen. De leerling wordt getoetst op het niveau waarop hij of zij les krijgt. Richting 1-kinderen worden meestal getoetst op hetzelfde niveau als leeftijdgenoten op Nederlandse scholen. Voor Richting 2-kinderen zou kunnen gelden dat een toets van één of twee jaar lager wordt afgenomen. </w:t>
      </w:r>
    </w:p>
    <w:p w14:paraId="000000F5">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46" w:firstLine="0"/>
        <w:rPr>
          <w:b/>
          <w:color w:val="000000"/>
          <w:sz w:val="18"/>
          <w:szCs w:val="18"/>
        </w:rPr>
      </w:pPr>
      <w:r>
        <w:rPr>
          <w:b/>
          <w:color w:val="000000"/>
          <w:sz w:val="18"/>
          <w:szCs w:val="18"/>
          <w:highlight w:val="white"/>
          <w:rtl w:val="0"/>
        </w:rPr>
        <w:t>Voortgezet onderwijs</w:t>
      </w:r>
      <w:r>
        <w:rPr>
          <w:b/>
          <w:color w:val="000000"/>
          <w:sz w:val="18"/>
          <w:szCs w:val="18"/>
          <w:rtl w:val="0"/>
        </w:rPr>
        <w:t xml:space="preserve"> </w:t>
      </w:r>
    </w:p>
    <w:p w14:paraId="000000F6">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240" w:firstLine="7"/>
        <w:rPr>
          <w:b/>
          <w:color w:val="000000"/>
          <w:sz w:val="18"/>
          <w:szCs w:val="18"/>
        </w:rPr>
      </w:pPr>
      <w:r>
        <w:rPr>
          <w:b/>
          <w:color w:val="000000"/>
          <w:sz w:val="18"/>
          <w:szCs w:val="18"/>
          <w:highlight w:val="white"/>
          <w:rtl w:val="0"/>
        </w:rPr>
        <w:t>Leerlingen worden jaarlijks getoetst door middel van de Diatoetsen: spelling en begrijpend lezen. Die uitslagen zijn leidend bij</w:t>
      </w:r>
      <w:r>
        <w:rPr>
          <w:b/>
          <w:color w:val="000000"/>
          <w:sz w:val="18"/>
          <w:szCs w:val="18"/>
          <w:rtl w:val="0"/>
        </w:rPr>
        <w:t xml:space="preserve"> </w:t>
      </w:r>
      <w:r>
        <w:rPr>
          <w:b/>
          <w:color w:val="000000"/>
          <w:sz w:val="18"/>
          <w:szCs w:val="18"/>
          <w:highlight w:val="white"/>
          <w:rtl w:val="0"/>
        </w:rPr>
        <w:t>het vervolgtraject van de leerling. Tijdens de lessen wordt doorlopend door de docenten getoetst op</w:t>
      </w:r>
      <w:r>
        <w:rPr>
          <w:b/>
          <w:color w:val="000000"/>
          <w:sz w:val="18"/>
          <w:szCs w:val="18"/>
          <w:rtl w:val="0"/>
        </w:rPr>
        <w:t xml:space="preserve"> </w:t>
      </w:r>
      <w:r>
        <w:rPr>
          <w:b/>
          <w:color w:val="000000"/>
          <w:sz w:val="18"/>
          <w:szCs w:val="18"/>
          <w:highlight w:val="white"/>
          <w:rtl w:val="0"/>
        </w:rPr>
        <w:t>afzonderlijke vaardigheden. Een keer per twee maanden vindt er onder de docenten een</w:t>
      </w:r>
      <w:r>
        <w:rPr>
          <w:b/>
          <w:color w:val="000000"/>
          <w:sz w:val="18"/>
          <w:szCs w:val="18"/>
          <w:rtl w:val="0"/>
        </w:rPr>
        <w:t xml:space="preserve"> </w:t>
      </w:r>
      <w:r>
        <w:rPr>
          <w:b/>
          <w:color w:val="000000"/>
          <w:sz w:val="18"/>
          <w:szCs w:val="18"/>
          <w:highlight w:val="white"/>
          <w:rtl w:val="0"/>
        </w:rPr>
        <w:t>leerlingbespreking plaats, waarbij de behaalde resultaten worden besproken. De toetsen die de</w:t>
      </w:r>
      <w:r>
        <w:rPr>
          <w:b/>
          <w:color w:val="000000"/>
          <w:sz w:val="18"/>
          <w:szCs w:val="18"/>
          <w:rtl w:val="0"/>
        </w:rPr>
        <w:t xml:space="preserve"> </w:t>
      </w:r>
      <w:r>
        <w:rPr>
          <w:b/>
          <w:color w:val="000000"/>
          <w:sz w:val="18"/>
          <w:szCs w:val="18"/>
          <w:highlight w:val="white"/>
          <w:rtl w:val="0"/>
        </w:rPr>
        <w:t>leerling krijgt worden niet beoordeeld met cijfers, maar hiaten in de kennis worden met de leerling</w:t>
      </w:r>
      <w:r>
        <w:rPr>
          <w:b/>
          <w:color w:val="000000"/>
          <w:sz w:val="18"/>
          <w:szCs w:val="18"/>
          <w:rtl w:val="0"/>
        </w:rPr>
        <w:t xml:space="preserve"> </w:t>
      </w:r>
      <w:r>
        <w:rPr>
          <w:b/>
          <w:color w:val="000000"/>
          <w:sz w:val="18"/>
          <w:szCs w:val="18"/>
          <w:highlight w:val="white"/>
          <w:rtl w:val="0"/>
        </w:rPr>
        <w:t>besproken en door oefening en bespreking zo mogelijk opgelost. Uitslagen van de diatoetsen en de</w:t>
      </w:r>
      <w:r>
        <w:rPr>
          <w:b/>
          <w:color w:val="000000"/>
          <w:sz w:val="18"/>
          <w:szCs w:val="18"/>
          <w:rtl w:val="0"/>
        </w:rPr>
        <w:t xml:space="preserve"> </w:t>
      </w:r>
      <w:r>
        <w:rPr>
          <w:b/>
          <w:color w:val="000000"/>
          <w:sz w:val="18"/>
          <w:szCs w:val="18"/>
          <w:highlight w:val="white"/>
          <w:rtl w:val="0"/>
        </w:rPr>
        <w:t>behaalde resultaten van de tussentijdse toetsen worden in rapporten twee maal per jaar met de</w:t>
      </w:r>
      <w:r>
        <w:rPr>
          <w:b/>
          <w:color w:val="000000"/>
          <w:sz w:val="18"/>
          <w:szCs w:val="18"/>
          <w:rtl w:val="0"/>
        </w:rPr>
        <w:t xml:space="preserve"> </w:t>
      </w:r>
      <w:r>
        <w:rPr>
          <w:b/>
          <w:color w:val="000000"/>
          <w:sz w:val="18"/>
          <w:szCs w:val="18"/>
          <w:highlight w:val="white"/>
          <w:rtl w:val="0"/>
        </w:rPr>
        <w:t>ouders gedeeld.</w:t>
      </w:r>
      <w:r>
        <w:rPr>
          <w:b/>
          <w:color w:val="000000"/>
          <w:sz w:val="18"/>
          <w:szCs w:val="18"/>
          <w:rtl w:val="0"/>
        </w:rPr>
        <w:t xml:space="preserve"> </w:t>
      </w:r>
    </w:p>
    <w:p w14:paraId="000000F7">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240" w:firstLine="7"/>
        <w:rPr>
          <w:b/>
          <w:color w:val="000000"/>
          <w:sz w:val="18"/>
          <w:szCs w:val="18"/>
        </w:rPr>
      </w:pPr>
      <w:r>
        <w:rPr>
          <w:b/>
          <w:color w:val="000000"/>
          <w:sz w:val="18"/>
          <w:szCs w:val="18"/>
          <w:rtl w:val="0"/>
        </w:rPr>
        <w:t xml:space="preserve">4.3 Zorg voor kinderen met specifieke behoeften </w:t>
      </w:r>
    </w:p>
    <w:p w14:paraId="000000F8">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33" w:firstLine="5"/>
        <w:rPr>
          <w:b/>
          <w:color w:val="000000"/>
          <w:sz w:val="18"/>
          <w:szCs w:val="18"/>
        </w:rPr>
      </w:pPr>
      <w:r>
        <w:rPr>
          <w:b/>
          <w:color w:val="000000"/>
          <w:sz w:val="18"/>
          <w:szCs w:val="18"/>
          <w:rtl w:val="0"/>
        </w:rPr>
        <w:t xml:space="preserve">Onderwijs op maat betekent voor ons ook zorg op maat. Zowel zwakke resultaten als heel goede resultaten kunnen aanleiding zijn voor een extra zorgaanbod. In overleg met ouders en leerkracht kan een handelingsplan worden opgesteld. Bij meer dan drie behaalde onvoldoendes achter elkaar op een bepaald vakgebied wordt er contact met de ouders opgenomen om te kijken welke interventies nodig zijn. In overleg met ouders kan er een handelingsplan worden opgesteld. Deze wordt na een periode van 3 maanden geëvalueerd door de leerkracht en besproken met de ouders. Naar aanleiding hiervan wordt het plan bijgesteld of afgesloten. Een handelingsplan kan ook worden opgesteld om een leerling bijvoorbeeld versneld de stof te laten doorlopen. Het kan zijn dat het kind ook extra huiswerk mee krijgt om het betreffende vakgebied extra te oefenen. Indien mogelijk vindt de zorg zo veel mogelijk plaats in de klas, onder begeleiding van de eigen, vertrouwde leerkracht. Een andere optie is het volgen van bijlessen waarin aandacht wordt besteed aan een specifiek vakgebied. </w:t>
      </w:r>
    </w:p>
    <w:p w14:paraId="000000F9">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1" w:firstLine="0"/>
        <w:rPr>
          <w:b/>
          <w:color w:val="000000"/>
          <w:sz w:val="18"/>
          <w:szCs w:val="18"/>
        </w:rPr>
      </w:pPr>
      <w:r>
        <w:rPr>
          <w:b/>
          <w:color w:val="000000"/>
          <w:sz w:val="18"/>
          <w:szCs w:val="18"/>
          <w:rtl w:val="0"/>
        </w:rPr>
        <w:t xml:space="preserve">4.4 Procedure vertrek leerling naar een andere school </w:t>
      </w:r>
    </w:p>
    <w:p w14:paraId="000000FA">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70" w:firstLine="12"/>
        <w:rPr>
          <w:b/>
          <w:color w:val="000000"/>
          <w:sz w:val="18"/>
          <w:szCs w:val="18"/>
        </w:rPr>
      </w:pPr>
      <w:r>
        <w:rPr>
          <w:b/>
          <w:color w:val="000000"/>
          <w:sz w:val="18"/>
          <w:szCs w:val="18"/>
          <w:rtl w:val="0"/>
        </w:rPr>
        <w:t xml:space="preserve">In de laatste week voor het vertrek is er een eindgesprek tussen de ouders, de groepsleraar en de onderwijscoördinator. De ouders ontvangen dan een kopie van de belangrijkste gegevens uit het leerling-dossier, dat naar de nieuwe school wordt meegenomen. Het dossier zal uiteindelijk een kopie moeten omvatten van: </w:t>
      </w:r>
    </w:p>
    <w:p w14:paraId="000000FB">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874" w:firstLine="0"/>
        <w:rPr>
          <w:b/>
          <w:color w:val="000000"/>
          <w:sz w:val="18"/>
          <w:szCs w:val="18"/>
        </w:rPr>
      </w:pPr>
      <w:r>
        <w:rPr>
          <w:b/>
          <w:color w:val="000000"/>
          <w:sz w:val="18"/>
          <w:szCs w:val="18"/>
          <w:rtl w:val="0"/>
        </w:rPr>
        <w:t xml:space="preserve">- Het onderwijskundig rapport </w:t>
      </w:r>
    </w:p>
    <w:p w14:paraId="000000FC">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De gegevens uit het leerlingvolgsysteem </w:t>
      </w:r>
    </w:p>
    <w:p w14:paraId="000000F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63" w:firstLine="0"/>
        <w:rPr>
          <w:b/>
          <w:color w:val="000000"/>
          <w:sz w:val="18"/>
          <w:szCs w:val="18"/>
        </w:rPr>
      </w:pPr>
      <w:r>
        <w:rPr>
          <w:b/>
          <w:color w:val="000000"/>
          <w:sz w:val="18"/>
          <w:szCs w:val="18"/>
          <w:rtl w:val="0"/>
        </w:rPr>
        <w:t xml:space="preserve">Daarnaast krijgen de ouders het werk van het kind mee. </w:t>
      </w:r>
    </w:p>
    <w:p w14:paraId="000000F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286" w:firstLine="0"/>
        <w:rPr>
          <w:b/>
          <w:color w:val="000000"/>
          <w:sz w:val="18"/>
          <w:szCs w:val="18"/>
        </w:rPr>
      </w:pPr>
      <w:r>
        <w:rPr>
          <w:b/>
          <w:color w:val="000000"/>
          <w:sz w:val="18"/>
          <w:szCs w:val="18"/>
          <w:rtl w:val="0"/>
        </w:rPr>
        <w:t xml:space="preserve">Zowel voor als na de overstap heeft onze school eventueel eenmaal contact met de nieuwe school, om zo de overgang soepel te laten verlopen. </w:t>
      </w:r>
    </w:p>
    <w:p w14:paraId="000000FF">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00">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01">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rtl w:val="0"/>
        </w:rPr>
        <w:t xml:space="preserve">5 Het onderwijsteam </w:t>
      </w:r>
    </w:p>
    <w:p w14:paraId="00000102">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b/>
          <w:color w:val="000000"/>
          <w:sz w:val="18"/>
          <w:szCs w:val="18"/>
        </w:rPr>
      </w:pPr>
      <w:r>
        <w:rPr>
          <w:b/>
          <w:color w:val="000000"/>
          <w:sz w:val="18"/>
          <w:szCs w:val="18"/>
          <w:rtl w:val="0"/>
        </w:rPr>
        <w:t xml:space="preserve">5.1 De leerkrachten en onderwijsassistenten </w:t>
      </w:r>
    </w:p>
    <w:p w14:paraId="00000103">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30" w:firstLine="3"/>
        <w:rPr>
          <w:b/>
          <w:color w:val="000000"/>
          <w:sz w:val="18"/>
          <w:szCs w:val="18"/>
        </w:rPr>
      </w:pPr>
      <w:r>
        <w:rPr>
          <w:b/>
          <w:color w:val="000000"/>
          <w:sz w:val="18"/>
          <w:szCs w:val="18"/>
          <w:rtl w:val="0"/>
        </w:rPr>
        <w:t>Op dit moment bestaat het onderwijsteam uit een bevo</w:t>
      </w:r>
      <w:r>
        <w:rPr>
          <w:b/>
          <w:sz w:val="18"/>
          <w:szCs w:val="18"/>
          <w:rtl w:val="0"/>
        </w:rPr>
        <w:t xml:space="preserve">egde </w:t>
      </w:r>
      <w:r>
        <w:rPr>
          <w:b/>
          <w:color w:val="000000"/>
          <w:sz w:val="18"/>
          <w:szCs w:val="18"/>
          <w:rtl w:val="0"/>
        </w:rPr>
        <w:t>onder</w:t>
      </w:r>
      <w:r>
        <w:rPr>
          <w:b/>
          <w:sz w:val="18"/>
          <w:szCs w:val="18"/>
          <w:rtl w:val="0"/>
        </w:rPr>
        <w:t xml:space="preserve">wijscoordinator/leerkracht, 1 bevoegde </w:t>
      </w:r>
      <w:r>
        <w:rPr>
          <w:b/>
          <w:color w:val="000000"/>
          <w:sz w:val="18"/>
          <w:szCs w:val="18"/>
          <w:rtl w:val="0"/>
        </w:rPr>
        <w:t>leerkracht</w:t>
      </w:r>
      <w:r>
        <w:rPr>
          <w:b/>
          <w:sz w:val="18"/>
          <w:szCs w:val="18"/>
          <w:rtl w:val="0"/>
        </w:rPr>
        <w:t xml:space="preserve"> en een onderwijsassistent </w:t>
      </w:r>
      <w:r>
        <w:rPr>
          <w:b/>
          <w:color w:val="000000"/>
          <w:sz w:val="18"/>
          <w:szCs w:val="18"/>
          <w:rtl w:val="0"/>
        </w:rPr>
        <w:t xml:space="preserve">op locatie en een bevoegde </w:t>
      </w:r>
      <w:r>
        <w:rPr>
          <w:b/>
          <w:sz w:val="18"/>
          <w:szCs w:val="18"/>
          <w:rtl w:val="0"/>
        </w:rPr>
        <w:t xml:space="preserve">leerkracht die online lessen verzorgt. </w:t>
      </w:r>
    </w:p>
    <w:p w14:paraId="00000104">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5.2 Wijze van vervanging bij ziekte, (studie)verlof of scholing </w:t>
      </w:r>
    </w:p>
    <w:p w14:paraId="00000105">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127" w:firstLine="12"/>
        <w:rPr>
          <w:b/>
          <w:color w:val="000000"/>
          <w:sz w:val="18"/>
          <w:szCs w:val="18"/>
        </w:rPr>
      </w:pPr>
      <w:r>
        <w:rPr>
          <w:b/>
          <w:color w:val="000000"/>
          <w:sz w:val="18"/>
          <w:szCs w:val="18"/>
          <w:rtl w:val="0"/>
        </w:rPr>
        <w:t xml:space="preserve">Indien een leerkracht niet aanwezig is, dan zal er geprobeerd worden om de vervanging intern op te lossen, om </w:t>
      </w:r>
      <w:r>
        <w:rPr>
          <w:b/>
          <w:sz w:val="18"/>
          <w:szCs w:val="18"/>
          <w:rtl w:val="0"/>
        </w:rPr>
        <w:t>zoveel</w:t>
      </w:r>
      <w:r>
        <w:rPr>
          <w:b/>
          <w:color w:val="000000"/>
          <w:sz w:val="18"/>
          <w:szCs w:val="18"/>
          <w:rtl w:val="0"/>
        </w:rPr>
        <w:t xml:space="preserve"> mogelijk de continuïteit op school te waarborgen. Mocht het echt noodzakelijk zijn, dan zijn er enkele ouders op wie de school kan bouwen om eenmalig een les –voorbereid door de leerkracht - over te nemen. </w:t>
      </w:r>
    </w:p>
    <w:p w14:paraId="00000106">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5.3 Scholing van onderwijspersoneel </w:t>
      </w:r>
    </w:p>
    <w:p w14:paraId="00000107">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46" w:firstLine="9"/>
        <w:rPr>
          <w:b/>
          <w:color w:val="000000"/>
          <w:sz w:val="18"/>
          <w:szCs w:val="18"/>
        </w:rPr>
      </w:pPr>
      <w:r>
        <w:rPr>
          <w:b/>
          <w:color w:val="000000"/>
          <w:sz w:val="18"/>
          <w:szCs w:val="18"/>
          <w:rtl w:val="0"/>
        </w:rPr>
        <w:t xml:space="preserve">Onze leerkrachten hebben via het Ministerie van Onderwijs in Nederland officiële goedkeuring en/of ontheffing om les te geven. Zij zijn van Nederlandse of Belgische nationaliteit. Er is een directiestatuut voor de coördinator onderwijs. Voor de leerkrachten zijn functiebeschrijvingen opgesteld, zodat er meer duidelijkheid is over de verantwoordelijkheden en de taakverdeling binnen de Knikkers. Van de onderwijscoördinator, onderwijscoach en leerkrachten wordt verwacht dat zij de ontwikkelingen binnen het onderwijs volgen, vakliteratuur bijhouden en bereid zijn om bijscholingscursussen te volgen, bijvoorbeeld bij de Stichting NOB. </w:t>
      </w:r>
    </w:p>
    <w:p w14:paraId="00000108">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09">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0A">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rtl w:val="0"/>
        </w:rPr>
        <w:t xml:space="preserve">6 De ouders </w:t>
      </w:r>
    </w:p>
    <w:p w14:paraId="0000010B">
      <w:pPr>
        <w:widowControl w:val="0"/>
        <w:pBdr>
          <w:top w:val="none" w:color="auto" w:sz="0" w:space="0"/>
          <w:left w:val="none" w:color="auto" w:sz="0" w:space="0"/>
          <w:bottom w:val="none" w:color="auto" w:sz="0" w:space="0"/>
          <w:right w:val="none" w:color="auto" w:sz="0" w:space="0"/>
          <w:between w:val="none" w:color="auto" w:sz="0" w:space="0"/>
        </w:pBdr>
        <w:spacing w:before="553" w:line="240" w:lineRule="auto"/>
        <w:ind w:left="156" w:firstLine="0"/>
        <w:rPr>
          <w:b/>
          <w:color w:val="000000"/>
          <w:sz w:val="18"/>
          <w:szCs w:val="18"/>
        </w:rPr>
      </w:pPr>
      <w:r>
        <w:rPr>
          <w:b/>
          <w:color w:val="000000"/>
          <w:sz w:val="18"/>
          <w:szCs w:val="18"/>
          <w:rtl w:val="0"/>
        </w:rPr>
        <w:t xml:space="preserve">6.1 Belang van ouderbetrokkenheid </w:t>
      </w:r>
    </w:p>
    <w:p w14:paraId="0000010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49" w:firstLine="9"/>
        <w:rPr>
          <w:b/>
          <w:color w:val="000000"/>
          <w:sz w:val="18"/>
          <w:szCs w:val="18"/>
        </w:rPr>
      </w:pPr>
      <w:r>
        <w:rPr>
          <w:b/>
          <w:color w:val="000000"/>
          <w:sz w:val="18"/>
          <w:szCs w:val="18"/>
          <w:rtl w:val="0"/>
        </w:rPr>
        <w:t xml:space="preserve">Ouders en leerkrachten handelen beide in het belang van het kind. Wij proberen daarom een goede samenwerking te creëren. Ook willen we open zijn naar ouders. Met uitzondering van werkdocumenten en specifieke vertrouwelijke stukken zijn alle gegevens ter inzage, waaronder o.a. het schoolplan en het </w:t>
      </w:r>
      <w:r>
        <w:rPr>
          <w:b/>
          <w:sz w:val="18"/>
          <w:szCs w:val="18"/>
          <w:rtl w:val="0"/>
        </w:rPr>
        <w:t>leerlingdossier.</w:t>
      </w:r>
      <w:r>
        <w:rPr>
          <w:b/>
          <w:color w:val="000000"/>
          <w:sz w:val="18"/>
          <w:szCs w:val="18"/>
          <w:rtl w:val="0"/>
        </w:rPr>
        <w:t xml:space="preserve"> Op school zijn de leerkrachten de eerstverantwoordelijken voor de kinderen; de onderwijscoördinator heeft de eindverantwoordelijkheid over de algehele gang van zaken met betrekking tot de NTC-school. </w:t>
      </w:r>
    </w:p>
    <w:p w14:paraId="0000010D">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7" w:right="240" w:firstLine="5"/>
        <w:rPr>
          <w:b/>
          <w:color w:val="000000"/>
          <w:sz w:val="18"/>
          <w:szCs w:val="18"/>
        </w:rPr>
      </w:pPr>
      <w:r>
        <w:rPr>
          <w:b/>
          <w:color w:val="000000"/>
          <w:sz w:val="18"/>
          <w:szCs w:val="18"/>
          <w:rtl w:val="0"/>
        </w:rPr>
        <w:t xml:space="preserve">Juist in het kader van het NTC- onderwijs is het noodzakelijk dat ouders en school dezelfde doelen stellen ten aanzien van het te bereiken niveau van taalbeheersing van het Nederlands. Dit heeft alleen kans van slagen, als de ouders zich betrokken en geïnteresseerd tonen en er blijk van geven zich te realiseren dat de thuissituatie in hoge mate bepalend is voor succes in de schoolsituatie. Wij willen hier graag het belang benadrukken van een constante stimulering in het gebruik van het Nederlands – niet alleen op school, maar ook thuis - voor alle leerlingen en in het bijzonder bij kinderen voor wie Nederlands niet de eerste taal is. </w:t>
      </w:r>
    </w:p>
    <w:p w14:paraId="0000010E">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6.2 Ouderparticipatie </w:t>
      </w:r>
    </w:p>
    <w:p w14:paraId="0000010F">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302" w:firstLine="3"/>
        <w:rPr>
          <w:b/>
          <w:color w:val="000000"/>
          <w:sz w:val="18"/>
          <w:szCs w:val="18"/>
        </w:rPr>
      </w:pPr>
      <w:r>
        <w:rPr>
          <w:b/>
          <w:color w:val="000000"/>
          <w:sz w:val="18"/>
          <w:szCs w:val="18"/>
          <w:rtl w:val="0"/>
        </w:rPr>
        <w:t xml:space="preserve">Onze school organiseert elk jaar een aantal buitenschoolse activiteiten, waarbij in het kader van de ouderparticipatie de ouders om medewerking wordt gevraagd. </w:t>
      </w:r>
    </w:p>
    <w:p w14:paraId="00000110">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2" w:firstLine="0"/>
        <w:rPr>
          <w:b/>
          <w:color w:val="000000"/>
          <w:sz w:val="18"/>
          <w:szCs w:val="18"/>
        </w:rPr>
      </w:pPr>
      <w:r>
        <w:rPr>
          <w:b/>
          <w:color w:val="000000"/>
          <w:sz w:val="18"/>
          <w:szCs w:val="18"/>
          <w:rtl w:val="0"/>
        </w:rPr>
        <w:t xml:space="preserve">Tot de vaste activiteiten behoren in elk geval: </w:t>
      </w:r>
    </w:p>
    <w:p w14:paraId="0000011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Culturele zaterdagen / zondagen </w:t>
      </w:r>
    </w:p>
    <w:p w14:paraId="0000011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Sinterklaasfeest </w:t>
      </w:r>
    </w:p>
    <w:p w14:paraId="0000011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Koningsdag </w:t>
      </w:r>
    </w:p>
    <w:p w14:paraId="0000011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eventueel Knikkerkamp </w:t>
      </w:r>
    </w:p>
    <w:p w14:paraId="00000115">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874" w:firstLine="0"/>
        <w:rPr>
          <w:b/>
          <w:color w:val="000000"/>
          <w:sz w:val="18"/>
          <w:szCs w:val="18"/>
        </w:rPr>
      </w:pPr>
      <w:r>
        <w:rPr>
          <w:b/>
          <w:color w:val="000000"/>
          <w:sz w:val="18"/>
          <w:szCs w:val="18"/>
          <w:rtl w:val="0"/>
        </w:rPr>
        <w:t xml:space="preserve">- Hulp in de klas / invalouder </w:t>
      </w:r>
    </w:p>
    <w:p w14:paraId="00000116">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63" w:right="566" w:hanging="15"/>
        <w:rPr>
          <w:b/>
          <w:color w:val="000000"/>
          <w:sz w:val="18"/>
          <w:szCs w:val="18"/>
        </w:rPr>
      </w:pPr>
      <w:r>
        <w:rPr>
          <w:b/>
          <w:color w:val="000000"/>
          <w:sz w:val="18"/>
          <w:szCs w:val="18"/>
          <w:rtl w:val="0"/>
        </w:rPr>
        <w:t xml:space="preserve">Aan het begin van het schooljaar wordt gevraagd om aan te geven óf en wanneer u kunt helpen. Natuurlijk kunt u dit ook gedurende het schooljaar kenbaar maken. </w:t>
      </w:r>
    </w:p>
    <w:p w14:paraId="00000117">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6.3 Klachtenregeling </w:t>
      </w:r>
    </w:p>
    <w:p w14:paraId="00000118">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8" w:firstLine="9"/>
        <w:rPr>
          <w:b/>
          <w:color w:val="000000"/>
          <w:sz w:val="18"/>
          <w:szCs w:val="18"/>
        </w:rPr>
      </w:pPr>
      <w:r>
        <w:rPr>
          <w:b/>
          <w:color w:val="000000"/>
          <w:sz w:val="18"/>
          <w:szCs w:val="18"/>
          <w:rtl w:val="0"/>
        </w:rPr>
        <w:t xml:space="preserve">Onze school heeft een klachtenregeling. De regeling staat hieronder omschreven. Wanneer ouders een klacht hebben over de school of over een medewerker van de school dan kunnen zij hiervan gebruikmaken. Uitgangspunt van de klachtenregeling is dat klachten, problemen, vragen en dergelijke in eerste instantie worden aangekaart bij degene die direct met de kwestie te maken heeft. Een ouder met bijvoorbeeld een klacht over (het lesgeven van) een leraar, neemt hierover eerst contact op met de desbetreffende leerkracht. Wanneer dit niet tot een bevredigende oplossing leidt, kan contact op worden genomen met het schoolbestuur. Hiermee wordt voorkomen dat de positie van de leraar (oftewel diens gezag in de klas) wordt ondermijnd. Daarnaast schept dit duidelijkheid over de rol en de positie van het schoolbestuur. </w:t>
      </w:r>
    </w:p>
    <w:p w14:paraId="00000119">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63" w:firstLine="0"/>
        <w:rPr>
          <w:b/>
          <w:color w:val="000000"/>
          <w:sz w:val="18"/>
          <w:szCs w:val="18"/>
        </w:rPr>
      </w:pPr>
      <w:r>
        <w:rPr>
          <w:b/>
          <w:color w:val="000000"/>
          <w:sz w:val="18"/>
          <w:szCs w:val="18"/>
          <w:rtl w:val="0"/>
        </w:rPr>
        <w:t xml:space="preserve">Bij een klacht wordt er altijd een stappenplan gevolgd. </w:t>
      </w:r>
    </w:p>
    <w:p w14:paraId="0000011A">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1B">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sz w:val="18"/>
          <w:szCs w:val="18"/>
          <w:rtl w:val="0"/>
        </w:rPr>
        <w:t xml:space="preserve">   </w:t>
      </w:r>
      <w:r>
        <w:rPr>
          <w:b/>
          <w:color w:val="000000"/>
          <w:sz w:val="18"/>
          <w:szCs w:val="18"/>
          <w:rtl w:val="0"/>
        </w:rPr>
        <w:t xml:space="preserve">Stap 1 </w:t>
      </w:r>
    </w:p>
    <w:p w14:paraId="0000011C">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b/>
          <w:color w:val="000000"/>
          <w:sz w:val="18"/>
          <w:szCs w:val="18"/>
        </w:rPr>
      </w:pPr>
      <w:r>
        <w:rPr>
          <w:b/>
          <w:color w:val="000000"/>
          <w:sz w:val="18"/>
          <w:szCs w:val="18"/>
          <w:rtl w:val="0"/>
        </w:rPr>
        <w:t xml:space="preserve">De ouders nemen de klacht rechtstreeks op met de leerkracht. </w:t>
      </w:r>
    </w:p>
    <w:p w14:paraId="0000011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4" w:firstLine="0"/>
        <w:rPr>
          <w:b/>
          <w:color w:val="000000"/>
          <w:sz w:val="18"/>
          <w:szCs w:val="18"/>
        </w:rPr>
      </w:pPr>
      <w:r>
        <w:rPr>
          <w:b/>
          <w:color w:val="000000"/>
          <w:sz w:val="18"/>
          <w:szCs w:val="18"/>
          <w:rtl w:val="0"/>
        </w:rPr>
        <w:t xml:space="preserve">Stap 2 </w:t>
      </w:r>
    </w:p>
    <w:p w14:paraId="0000011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143" w:hanging="5"/>
        <w:rPr>
          <w:b/>
          <w:color w:val="000000"/>
          <w:sz w:val="18"/>
          <w:szCs w:val="18"/>
        </w:rPr>
      </w:pPr>
      <w:r>
        <w:rPr>
          <w:b/>
          <w:color w:val="000000"/>
          <w:sz w:val="18"/>
          <w:szCs w:val="18"/>
          <w:rtl w:val="0"/>
        </w:rPr>
        <w:t xml:space="preserve">Vinden de ouders en/of </w:t>
      </w:r>
      <w:r>
        <w:rPr>
          <w:b/>
          <w:sz w:val="18"/>
          <w:szCs w:val="18"/>
          <w:rtl w:val="0"/>
        </w:rPr>
        <w:t>leerkrachten</w:t>
      </w:r>
      <w:r>
        <w:rPr>
          <w:b/>
          <w:color w:val="000000"/>
          <w:sz w:val="18"/>
          <w:szCs w:val="18"/>
          <w:rtl w:val="0"/>
        </w:rPr>
        <w:t xml:space="preserve"> geen bevredigende oplossing voor het probleem, dan wordt de onderwijscoördinator van de school ingeschakeld. Deze kan overigens ook al in de eerste stap bij de kwestie worden betrokken, maar alleen met instemming van </w:t>
      </w:r>
      <w:r>
        <w:rPr>
          <w:b/>
          <w:sz w:val="18"/>
          <w:szCs w:val="18"/>
          <w:rtl w:val="0"/>
        </w:rPr>
        <w:t>een</w:t>
      </w:r>
      <w:r>
        <w:rPr>
          <w:b/>
          <w:color w:val="000000"/>
          <w:sz w:val="18"/>
          <w:szCs w:val="18"/>
          <w:rtl w:val="0"/>
        </w:rPr>
        <w:t xml:space="preserve"> van beide partijen. Hier bestaat het gevaar dat het gezag van de leerkracht ondermijnd wordt. </w:t>
      </w:r>
    </w:p>
    <w:p w14:paraId="0000011F">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4" w:firstLine="0"/>
        <w:rPr>
          <w:b/>
          <w:color w:val="000000"/>
          <w:sz w:val="18"/>
          <w:szCs w:val="18"/>
        </w:rPr>
      </w:pPr>
      <w:r>
        <w:rPr>
          <w:b/>
          <w:color w:val="000000"/>
          <w:sz w:val="18"/>
          <w:szCs w:val="18"/>
          <w:rtl w:val="0"/>
        </w:rPr>
        <w:t xml:space="preserve">Stap 3 </w:t>
      </w:r>
    </w:p>
    <w:p w14:paraId="00000120">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41" w:firstLine="12"/>
        <w:rPr>
          <w:b/>
          <w:color w:val="000000"/>
          <w:sz w:val="18"/>
          <w:szCs w:val="18"/>
        </w:rPr>
      </w:pPr>
      <w:r>
        <w:rPr>
          <w:b/>
          <w:color w:val="000000"/>
          <w:sz w:val="18"/>
          <w:szCs w:val="18"/>
          <w:rtl w:val="0"/>
        </w:rPr>
        <w:t xml:space="preserve">Indien ook na het overleg met de onderwijscoördinator de kwestie niet bevredigend kan worden opgelost, dan wordt de zaak voorgelegd aan het schoolbestuur. Het bestuur zal in voortdurend overleg met de onderwijscoördinator de kwestie bezien en hopelijk tot een oplossing kunnen brengen. </w:t>
      </w:r>
    </w:p>
    <w:p w14:paraId="00000121">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left="154" w:right="147" w:hanging="5"/>
        <w:rPr>
          <w:b/>
          <w:color w:val="000000"/>
          <w:sz w:val="18"/>
          <w:szCs w:val="18"/>
        </w:rPr>
      </w:pPr>
      <w:r>
        <w:rPr>
          <w:b/>
          <w:color w:val="000000"/>
          <w:sz w:val="18"/>
          <w:szCs w:val="18"/>
          <w:rtl w:val="0"/>
        </w:rPr>
        <w:t xml:space="preserve">Voor klachten die betrekking hebben op seksuele intimidatie kan men terecht bij de speciaal hiervoor aangestelde vertrouwensinspecteur. Voor Nederlandse scholen in het buitenland is dit het Centraal Meldpunt Vertrouwensinspecteurs: +31 76 52 444 77. U wordt via dit nummer doorgeschakeld naar het meldpunt. Gegevens hier over vindt u in de bijlage. </w:t>
      </w:r>
    </w:p>
    <w:p w14:paraId="00000122">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6.4 Inspraak </w:t>
      </w:r>
    </w:p>
    <w:p w14:paraId="00000123">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37" w:right="127" w:firstLine="26"/>
        <w:rPr>
          <w:b/>
          <w:color w:val="000000"/>
          <w:sz w:val="18"/>
          <w:szCs w:val="18"/>
        </w:rPr>
      </w:pPr>
      <w:r>
        <w:rPr>
          <w:b/>
          <w:color w:val="000000"/>
          <w:sz w:val="18"/>
          <w:szCs w:val="18"/>
          <w:rtl w:val="0"/>
        </w:rPr>
        <w:t xml:space="preserve">De school heeft in rechtspositionele zin de vorm van een stichting die wordt bestuurd door het schoolbestuur. Het bestuur draagt de eindverantwoordelijkheid: niet alleen over de financiële, administratieve en organisatorische zaken maar ook over de onderwijsinhoudelijke kwesties. Een aantal zaken zijn van openbaar karakter, waaronder de financiële balans, inspectierapporten en de jaarplannen. Ook kunnen de ouders op ieder moment nieuwe voorstellen of ideeën presenteren aan het bestuur. Deze zullen op zijn vroegst in de eerstvolgende bestuursvergadering worden besproken. In alle gevallen zullen de betrokken ouders zo snel mogelijk op de hoogte worden gebracht. </w:t>
      </w:r>
    </w:p>
    <w:p w14:paraId="00000124">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25">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26">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27">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28">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29">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rtl w:val="0"/>
        </w:rPr>
        <w:t xml:space="preserve">7 De kwaliteit van het onderwijs </w:t>
      </w:r>
    </w:p>
    <w:p w14:paraId="0000012A">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9" w:right="180" w:firstLine="5"/>
        <w:rPr>
          <w:b/>
          <w:color w:val="000000"/>
          <w:sz w:val="18"/>
          <w:szCs w:val="18"/>
        </w:rPr>
      </w:pPr>
      <w:r>
        <w:rPr>
          <w:b/>
          <w:color w:val="000000"/>
          <w:sz w:val="18"/>
          <w:szCs w:val="18"/>
          <w:rtl w:val="0"/>
        </w:rPr>
        <w:t xml:space="preserve">Onze school voert een actief kwaliteitsbeleid. Dit kwaliteitsbeleid wordt telkens voor een periode van vier jaar vastgelegd in ons schoolplan. Ons huidige schoolplan geldt voor de periode 2023-2027.. Naast het schoolplan wordt er ook een jaarplan opgesteld. Hierin staan doelen die schoolbreed zijn opgesteld door de onderwijscoördinator in overleg met de leerkrachten en het bestuur. Halverwege het schooljaar vindt er een tussenevaluatie plaats waarin de onderwijscoördinator het bestuur op de hoogte stelt van de vorderingen met betrekking tot het jaarplan. Aan het einde van het schooljaar evalueert de onderwijscoördinator de doelen samen met het bestuur. Zowel het schoolplan als het jaarplan kunt u opvragen bij </w:t>
      </w:r>
      <w:r>
        <w:rPr>
          <w:b/>
          <w:sz w:val="18"/>
          <w:szCs w:val="18"/>
          <w:rtl w:val="0"/>
        </w:rPr>
        <w:t>het bestuur</w:t>
      </w:r>
      <w:r>
        <w:rPr>
          <w:b/>
          <w:color w:val="000000"/>
          <w:sz w:val="18"/>
          <w:szCs w:val="18"/>
          <w:rtl w:val="0"/>
        </w:rPr>
        <w:t xml:space="preserve">. </w:t>
      </w:r>
    </w:p>
    <w:p w14:paraId="0000012B">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4" w:right="411" w:firstLine="9"/>
        <w:rPr>
          <w:b/>
          <w:color w:val="000000"/>
          <w:sz w:val="18"/>
          <w:szCs w:val="18"/>
        </w:rPr>
      </w:pPr>
      <w:r>
        <w:rPr>
          <w:b/>
          <w:color w:val="000000"/>
          <w:sz w:val="18"/>
          <w:szCs w:val="18"/>
          <w:rtl w:val="0"/>
        </w:rPr>
        <w:t xml:space="preserve">De Onderwijsinspectie gaat na of de school goed onderwijs geeft en of de resultaten van de </w:t>
      </w:r>
      <w:r>
        <w:rPr>
          <w:b/>
          <w:sz w:val="18"/>
          <w:szCs w:val="18"/>
          <w:rtl w:val="0"/>
        </w:rPr>
        <w:t>leerlingen voldoende</w:t>
      </w:r>
      <w:r>
        <w:rPr>
          <w:b/>
          <w:color w:val="000000"/>
          <w:sz w:val="18"/>
          <w:szCs w:val="18"/>
          <w:rtl w:val="0"/>
        </w:rPr>
        <w:t xml:space="preserve"> zijn. De inspectie doet dit door te beoordelen of onze school voldoet aan een aantal kwaliteitseisen. De inspectie bezoekt gemiddeld eens in de vier jaar de Nederlandse dagscholen en de NTC-locaties in het buitenland. </w:t>
      </w:r>
    </w:p>
    <w:p w14:paraId="0000012C">
      <w:pPr>
        <w:shd w:val="clear" w:fill="E5E5E5"/>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De inspectie heeft op 6 en 7 november 2024 een kwaliteitsonderzoek uitgevoerd op NTC De Knikkers te Buenos Aires, Argentinië. In september 2024 voerden we een voorbereidend gesprek met de coördinator van de school en de voorzitter van het bestuur. </w:t>
      </w:r>
    </w:p>
    <w:p w14:paraId="0000012D">
      <w:pPr>
        <w:shd w:val="clear" w:fill="E5E5E5"/>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Wij bezoeken Nederlandse scholen in het buitenland in ieder geval eens in de zes jaar. We constateren dat de kwaliteit van het onderwijs op De Knikkers, primair en voortgezet onderwijs Voldoende is. Dit rapport is van toepassing op het primair en voortgezet onderwijs. </w:t>
      </w:r>
    </w:p>
    <w:p w14:paraId="0000012E">
      <w:pPr>
        <w:shd w:val="clear" w:fill="E5E5E5"/>
        <w:spacing w:before="280" w:after="280" w:line="240" w:lineRule="auto"/>
        <w:rPr>
          <w:rFonts w:ascii="Times New Roman" w:hAnsi="Times New Roman" w:eastAsia="Times New Roman" w:cs="Times New Roman"/>
          <w:sz w:val="24"/>
          <w:szCs w:val="24"/>
        </w:rPr>
      </w:pPr>
      <w:r>
        <w:rPr>
          <w:rFonts w:ascii="Hei" w:hAnsi="Hei" w:eastAsia="Hei" w:cs="Hei"/>
          <w:b/>
          <w:sz w:val="18"/>
          <w:szCs w:val="18"/>
          <w:rtl w:val="0"/>
        </w:rPr>
        <w:t xml:space="preserve">Wat gaat goed? </w:t>
      </w:r>
    </w:p>
    <w:p w14:paraId="0000012F">
      <w:pPr>
        <w:shd w:val="clear" w:fill="E5E5E5"/>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Na een roerige periode is het de school gelukt dat alle standaarden als Voldoende zijn gewaardeerd. De school is overzichtelijk georganiseerd en taken en verantwoordelijkheden zijn voor iedereen duidelijk. De school heeft een gemotiveerd team dat samen met de coördinator en het bestuur werkt aan de verbetering van het onderwijs. De school heeft een uitnodigend aanbod dat voldoet aan de kerndoelen primair onderwijs en de eindtermen voortgezet onderwijs. De leerlingen zijn tijdens de lessen actief betrokken en de leraren geven effectieve en aantrekkelijke lessen in een goed pedagogisch klimaat. Leraren volgen de ontwikkeling van de leerlingen systematisch en passen het onderwijs hierop aan. </w:t>
      </w:r>
    </w:p>
    <w:p w14:paraId="00000130">
      <w:pPr>
        <w:shd w:val="clear" w:fill="E5E5E5"/>
        <w:spacing w:before="280" w:after="280" w:line="240" w:lineRule="auto"/>
        <w:rPr>
          <w:rFonts w:ascii="Times New Roman" w:hAnsi="Times New Roman" w:eastAsia="Times New Roman" w:cs="Times New Roman"/>
          <w:sz w:val="24"/>
          <w:szCs w:val="24"/>
        </w:rPr>
      </w:pPr>
      <w:r>
        <w:rPr>
          <w:rFonts w:ascii="Hei" w:hAnsi="Hei" w:eastAsia="Hei" w:cs="Hei"/>
          <w:b/>
          <w:sz w:val="18"/>
          <w:szCs w:val="18"/>
          <w:rtl w:val="0"/>
        </w:rPr>
        <w:t xml:space="preserve">Wat kan beter? </w:t>
      </w:r>
    </w:p>
    <w:p w14:paraId="00000131">
      <w:pPr>
        <w:shd w:val="clear" w:fill="E5E5E5"/>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Er liggen kansen om de gegevens, die de leraren hebben vanuit de toetsen en observaties, nadrukkelijker te gebruiken in de lessen en dit een plek te geven in de voorbereiding van de lessen. </w:t>
      </w:r>
    </w:p>
    <w:p w14:paraId="00000132">
      <w:pPr>
        <w:shd w:val="clear" w:fill="E5E5E5"/>
        <w:spacing w:before="280" w:after="280" w:line="240" w:lineRule="auto"/>
        <w:rPr>
          <w:rFonts w:ascii="Hei" w:hAnsi="Hei" w:eastAsia="Hei" w:cs="Hei"/>
          <w:b/>
          <w:sz w:val="18"/>
          <w:szCs w:val="18"/>
        </w:rPr>
      </w:pPr>
      <w:r>
        <w:rPr>
          <w:rFonts w:ascii="Hei" w:hAnsi="Hei" w:eastAsia="Hei" w:cs="Hei"/>
          <w:b/>
          <w:sz w:val="18"/>
          <w:szCs w:val="18"/>
          <w:rtl w:val="0"/>
        </w:rPr>
        <w:t xml:space="preserve">Vervolgtoezicht </w:t>
      </w:r>
    </w:p>
    <w:p w14:paraId="00000133">
      <w:pPr>
        <w:shd w:val="clear" w:fill="E5E5E5"/>
        <w:spacing w:before="280" w:after="280" w:line="240" w:lineRule="auto"/>
        <w:rPr>
          <w:rFonts w:ascii="Hei" w:hAnsi="Hei" w:eastAsia="Hei" w:cs="Hei"/>
          <w:b/>
          <w:sz w:val="18"/>
          <w:szCs w:val="18"/>
        </w:rPr>
      </w:pPr>
      <w:r>
        <w:rPr>
          <w:rFonts w:ascii="Hei" w:hAnsi="Hei" w:eastAsia="Hei" w:cs="Hei"/>
          <w:sz w:val="18"/>
          <w:szCs w:val="18"/>
          <w:rtl w:val="0"/>
        </w:rPr>
        <w:t>De onderwijskwaliteit op De Knikkers, primair en voortgezet onderwijs is Voldoende. De school krijgt over uiterlijk zes jaar opnieuw een kwaliteitsonderzoek</w:t>
      </w:r>
    </w:p>
    <w:p w14:paraId="00000134">
      <w:pPr>
        <w:shd w:val="clear" w:fill="FFFFFF"/>
        <w:spacing w:before="280" w:after="280" w:line="240" w:lineRule="auto"/>
        <w:rPr>
          <w:rFonts w:ascii="Times New Roman" w:hAnsi="Times New Roman" w:eastAsia="Times New Roman" w:cs="Times New Roman"/>
          <w:sz w:val="24"/>
          <w:szCs w:val="24"/>
        </w:rPr>
      </w:pPr>
      <w:r>
        <w:rPr>
          <w:rFonts w:ascii="Hei" w:hAnsi="Hei" w:eastAsia="Hei" w:cs="Hei"/>
          <w:b/>
          <w:sz w:val="18"/>
          <w:szCs w:val="18"/>
          <w:rtl w:val="0"/>
        </w:rPr>
        <w:t xml:space="preserve">Schoolklimaat </w:t>
      </w:r>
    </w:p>
    <w:p w14:paraId="00000135">
      <w:pPr>
        <w:shd w:val="clear" w:fill="FFFFFF"/>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De onderwijsinspectie waardeert deze als </w:t>
      </w:r>
      <w:r>
        <w:rPr>
          <w:rFonts w:ascii="Hei" w:hAnsi="Hei" w:eastAsia="Hei" w:cs="Hei"/>
          <w:b/>
          <w:sz w:val="18"/>
          <w:szCs w:val="18"/>
          <w:rtl w:val="0"/>
        </w:rPr>
        <w:t>Goed</w:t>
      </w:r>
      <w:r>
        <w:rPr>
          <w:rFonts w:ascii="Hei" w:hAnsi="Hei" w:eastAsia="Hei" w:cs="Hei"/>
          <w:sz w:val="18"/>
          <w:szCs w:val="18"/>
          <w:rtl w:val="0"/>
        </w:rPr>
        <w:t xml:space="preserve">. </w:t>
      </w:r>
    </w:p>
    <w:p w14:paraId="00000136">
      <w:pPr>
        <w:shd w:val="clear" w:fill="FFFFFF"/>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Op de school en tijdens de lessen is sprake van een veilig en ondersteunend pedagogisch klimaat. </w:t>
      </w:r>
    </w:p>
    <w:p w14:paraId="00000137">
      <w:pPr>
        <w:shd w:val="clear" w:fill="FFFFFF"/>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De leerlingen krijgen onderwijs in een ruim en sfeervol gebouw, een kerk. De leraren 'toveren' hun lokalen snel om tot een school met een Nederlandse touch. We zagen dat leerlingen gezien en gekend worden door de leraren en regels zijn, bijna als vanzelfsprekend, duidelijk. </w:t>
      </w:r>
    </w:p>
    <w:p w14:paraId="00000138">
      <w:pPr>
        <w:shd w:val="clear" w:fill="FFFFFF"/>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Op de school is sprake van een respectvol, ambitieus leerklimaat waar kinderen zich kunnen ontwikkelen en zichzelf kunnen zijn. De leerlingen met wie wij spraken beamen dat en geven aan dat ze de school leuk vinden, de lessen gezellig zijn, iedereen altijd aardig voor elkaar is en ze veel leren. De (ex)vo leerlingen geven een vergelijkbaar beeld. De wekelijkse Nederlandse sfeer vinden ze fijn en ze zijn blij met de kansen die de school ze geeft/gaf om het CNaTV examen te gaan doen. Hierdoor is het mogelijk om in Nederland te studeren en begrijpen ze de Nederlandse cultuur beter. </w:t>
      </w:r>
    </w:p>
    <w:p w14:paraId="00000139">
      <w:pPr>
        <w:shd w:val="clear" w:fill="FFFFFF"/>
        <w:spacing w:before="280" w:after="280" w:line="240" w:lineRule="auto"/>
        <w:rPr>
          <w:rFonts w:ascii="Times New Roman" w:hAnsi="Times New Roman" w:eastAsia="Times New Roman" w:cs="Times New Roman"/>
          <w:sz w:val="24"/>
          <w:szCs w:val="24"/>
        </w:rPr>
      </w:pPr>
      <w:r>
        <w:rPr>
          <w:rFonts w:ascii="Hei" w:hAnsi="Hei" w:eastAsia="Hei" w:cs="Hei"/>
          <w:sz w:val="18"/>
          <w:szCs w:val="18"/>
          <w:rtl w:val="0"/>
        </w:rPr>
        <w:t xml:space="preserve">De ouders hebben een vergelijkbaar verhaal en zijn blij met de school, de sfeer, de communicatie en de betrokkenheid van de school bij hun kind. De standaard pedagogisch klimaat waarderen wij dan ook als Goed. </w:t>
      </w:r>
    </w:p>
    <w:p w14:paraId="0000013A">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3B">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3C">
      <w:pPr>
        <w:widowControl w:val="0"/>
        <w:pBdr>
          <w:top w:val="none" w:color="auto" w:sz="0" w:space="0"/>
          <w:left w:val="none" w:color="auto" w:sz="0" w:space="0"/>
          <w:bottom w:val="none" w:color="auto" w:sz="0" w:space="0"/>
          <w:right w:val="none" w:color="auto" w:sz="0" w:space="0"/>
          <w:between w:val="none" w:color="auto" w:sz="0" w:space="0"/>
        </w:pBdr>
        <w:spacing w:line="240" w:lineRule="auto"/>
        <w:rPr>
          <w:b/>
          <w:sz w:val="18"/>
          <w:szCs w:val="18"/>
        </w:rPr>
      </w:pPr>
    </w:p>
    <w:p w14:paraId="0000013D">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rtl w:val="0"/>
        </w:rPr>
        <w:t xml:space="preserve">8 Praktische zaken </w:t>
      </w:r>
    </w:p>
    <w:p w14:paraId="0000013E">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b/>
          <w:color w:val="000000"/>
          <w:sz w:val="18"/>
          <w:szCs w:val="18"/>
        </w:rPr>
      </w:pPr>
      <w:r>
        <w:rPr>
          <w:b/>
          <w:color w:val="000000"/>
          <w:sz w:val="18"/>
          <w:szCs w:val="18"/>
          <w:rtl w:val="0"/>
        </w:rPr>
        <w:t xml:space="preserve">8.1 Schooltijden </w:t>
      </w:r>
    </w:p>
    <w:p w14:paraId="0000013F">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b/>
          <w:sz w:val="18"/>
          <w:szCs w:val="18"/>
        </w:rPr>
      </w:pPr>
      <w:r>
        <w:rPr>
          <w:b/>
          <w:sz w:val="18"/>
          <w:szCs w:val="18"/>
          <w:u w:val="single"/>
          <w:rtl w:val="0"/>
        </w:rPr>
        <w:t>Donderdag is de vaste dag voor PO onderwijs</w:t>
      </w:r>
      <w:r>
        <w:rPr>
          <w:b/>
          <w:sz w:val="18"/>
          <w:szCs w:val="18"/>
          <w:rtl w:val="0"/>
        </w:rPr>
        <w:t>:</w:t>
      </w:r>
    </w:p>
    <w:p w14:paraId="00000140">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color w:val="000000"/>
          <w:sz w:val="18"/>
          <w:szCs w:val="18"/>
          <w:rtl w:val="0"/>
        </w:rPr>
        <w:t>Op locatie:</w:t>
      </w:r>
    </w:p>
    <w:p w14:paraId="00000141">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color w:val="000000"/>
          <w:sz w:val="18"/>
          <w:szCs w:val="18"/>
          <w:rtl w:val="0"/>
        </w:rPr>
        <w:t>Donderdagen, aanvang 17.00, start 17.15 tot 19.30: Kleuters en PO onder en bovenbouw</w:t>
      </w:r>
    </w:p>
    <w:p w14:paraId="00000142">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sz w:val="18"/>
          <w:szCs w:val="18"/>
          <w:rtl w:val="0"/>
        </w:rPr>
        <w:t>Ivm met beschikbaarheid leerkrachten is de volgende hybride PO groep op een andere dag:</w:t>
      </w:r>
    </w:p>
    <w:p w14:paraId="00000143">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color w:val="000000"/>
          <w:sz w:val="18"/>
          <w:szCs w:val="18"/>
          <w:rtl w:val="0"/>
        </w:rPr>
        <w:t xml:space="preserve">Dinsdag </w:t>
      </w:r>
      <w:r>
        <w:rPr>
          <w:b/>
          <w:sz w:val="18"/>
          <w:szCs w:val="18"/>
          <w:rtl w:val="0"/>
        </w:rPr>
        <w:t>PO R2:</w:t>
      </w:r>
      <w:r>
        <w:rPr>
          <w:b/>
          <w:color w:val="000000"/>
          <w:sz w:val="18"/>
          <w:szCs w:val="18"/>
          <w:rtl w:val="0"/>
        </w:rPr>
        <w:t xml:space="preserve"> 17.30-1</w:t>
      </w:r>
      <w:r>
        <w:rPr>
          <w:b/>
          <w:sz w:val="18"/>
          <w:szCs w:val="18"/>
          <w:rtl w:val="0"/>
        </w:rPr>
        <w:t>9.00</w:t>
      </w:r>
    </w:p>
    <w:p w14:paraId="00000144">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sz w:val="18"/>
          <w:szCs w:val="18"/>
          <w:u w:val="single"/>
        </w:rPr>
      </w:pPr>
      <w:r>
        <w:rPr>
          <w:b/>
          <w:sz w:val="18"/>
          <w:szCs w:val="18"/>
          <w:u w:val="single"/>
          <w:rtl w:val="0"/>
        </w:rPr>
        <w:t>Woensdag is de vaste dag voor het VO onderwijs:</w:t>
      </w:r>
    </w:p>
    <w:p w14:paraId="00000145">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color w:val="000000"/>
          <w:sz w:val="18"/>
          <w:szCs w:val="18"/>
          <w:rtl w:val="0"/>
        </w:rPr>
        <w:t xml:space="preserve">Woensdag VO </w:t>
      </w:r>
      <w:r>
        <w:rPr>
          <w:b/>
          <w:sz w:val="18"/>
          <w:szCs w:val="18"/>
          <w:rtl w:val="0"/>
        </w:rPr>
        <w:t xml:space="preserve">R1 </w:t>
      </w:r>
      <w:r>
        <w:rPr>
          <w:b/>
          <w:color w:val="000000"/>
          <w:sz w:val="18"/>
          <w:szCs w:val="18"/>
          <w:rtl w:val="0"/>
        </w:rPr>
        <w:t>19.00-20.30</w:t>
      </w:r>
    </w:p>
    <w:p w14:paraId="00000146">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b/>
          <w:color w:val="000000"/>
          <w:sz w:val="18"/>
          <w:szCs w:val="18"/>
        </w:rPr>
      </w:pPr>
      <w:r>
        <w:rPr>
          <w:b/>
          <w:sz w:val="18"/>
          <w:szCs w:val="18"/>
          <w:rtl w:val="0"/>
        </w:rPr>
        <w:t xml:space="preserve">Ivm beschikbaarheid leerkrachten: </w:t>
      </w:r>
      <w:r>
        <w:rPr>
          <w:b/>
          <w:color w:val="000000"/>
          <w:sz w:val="18"/>
          <w:szCs w:val="18"/>
          <w:rtl w:val="0"/>
        </w:rPr>
        <w:t xml:space="preserve">Donderdag VO </w:t>
      </w:r>
      <w:r>
        <w:rPr>
          <w:b/>
          <w:sz w:val="18"/>
          <w:szCs w:val="18"/>
          <w:rtl w:val="0"/>
        </w:rPr>
        <w:t>R2</w:t>
      </w:r>
      <w:r>
        <w:rPr>
          <w:b/>
          <w:color w:val="000000"/>
          <w:sz w:val="18"/>
          <w:szCs w:val="18"/>
          <w:rtl w:val="0"/>
        </w:rPr>
        <w:t xml:space="preserve"> 18.15-19.4</w:t>
      </w:r>
      <w:r>
        <w:rPr>
          <w:b/>
          <w:sz w:val="18"/>
          <w:szCs w:val="18"/>
          <w:rtl w:val="0"/>
        </w:rPr>
        <w:t>5</w:t>
      </w:r>
    </w:p>
    <w:p w14:paraId="00000147">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61" w:right="34" w:hanging="10"/>
        <w:rPr>
          <w:b/>
          <w:color w:val="000000"/>
          <w:sz w:val="18"/>
          <w:szCs w:val="18"/>
        </w:rPr>
      </w:pPr>
      <w:r>
        <w:rPr>
          <w:b/>
          <w:color w:val="000000"/>
          <w:sz w:val="18"/>
          <w:szCs w:val="18"/>
          <w:rtl w:val="0"/>
        </w:rPr>
        <w:t xml:space="preserve">We verzoeken alle ouders dringend om hun kinderen op tijd te laten komen in de lessen. Het te laat komen stoort het lesritme en is zowel voor de leerkrachten als voor de kinderen vervelend. Mocht een leerling toch te laat komen, dan verzoeken wij om dit van te voren aan de onderwijscoördinator of leerkracht te melden. </w:t>
      </w:r>
    </w:p>
    <w:p w14:paraId="00000148">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6" w:firstLine="0"/>
        <w:rPr>
          <w:b/>
          <w:color w:val="000000"/>
          <w:sz w:val="18"/>
          <w:szCs w:val="18"/>
        </w:rPr>
      </w:pPr>
      <w:r>
        <w:rPr>
          <w:b/>
          <w:color w:val="000000"/>
          <w:sz w:val="18"/>
          <w:szCs w:val="18"/>
          <w:rtl w:val="0"/>
        </w:rPr>
        <w:t xml:space="preserve">8.2 Vakantierooster </w:t>
      </w:r>
    </w:p>
    <w:p w14:paraId="00000149">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47" w:right="228" w:firstLine="16"/>
        <w:rPr>
          <w:b/>
          <w:color w:val="000000"/>
          <w:sz w:val="18"/>
          <w:szCs w:val="18"/>
        </w:rPr>
      </w:pPr>
      <w:r>
        <w:rPr>
          <w:b/>
          <w:color w:val="000000"/>
          <w:sz w:val="18"/>
          <w:szCs w:val="18"/>
          <w:rtl w:val="0"/>
        </w:rPr>
        <w:t xml:space="preserve">De schoolvakanties lopen parallel met de lokale Argentijnse schoolkalender. De lessen starten in de week van 1 maart en eindigen in de week van half december. In de maand juli is de school gesloten i.v.m. de wintervakantie. Als een lesdag op een nationale feestdag valt, dan zal er – in overleg met ouders - gekeken worden of de les op een andere dag kan plaatsvinden. In principe gaan lesdagen altijd door ook al is het een zogenoemde ‘feriado’. </w:t>
      </w:r>
    </w:p>
    <w:p w14:paraId="0000014A">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47" w:right="33" w:firstLine="9"/>
        <w:rPr>
          <w:b/>
          <w:color w:val="000000"/>
          <w:sz w:val="18"/>
          <w:szCs w:val="18"/>
        </w:rPr>
      </w:pPr>
      <w:r>
        <w:rPr>
          <w:b/>
          <w:color w:val="000000"/>
          <w:sz w:val="18"/>
          <w:szCs w:val="18"/>
          <w:rtl w:val="0"/>
        </w:rPr>
        <w:t xml:space="preserve">Omdat de leerlingen op verschillende dagscholen zitten met elk hun eigen vakantierooster, verzoeken wij bij vakanties zoveel mogelijk rekening te houden met ons lesrooster. Indien dit niet lukt, dan krijgt de leerling extra schoolwerk mee voor de betreffende periode. Het wordt op prijs gesteld om dat minimaal een week van te voren te melden zodat de leerkracht een pakketje huiswerk kan klaarmaken. Dit zorgt ervoor dat uw kind zo min mogelijk een achterstand oploopt. </w:t>
      </w:r>
    </w:p>
    <w:p w14:paraId="0000014B">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rPr>
          <w:b/>
          <w:color w:val="000000"/>
          <w:sz w:val="18"/>
          <w:szCs w:val="18"/>
        </w:rPr>
      </w:pPr>
      <w:r>
        <w:rPr>
          <w:b/>
          <w:color w:val="000000"/>
          <w:sz w:val="18"/>
          <w:szCs w:val="18"/>
          <w:rtl w:val="0"/>
        </w:rPr>
        <w:t xml:space="preserve">8.3 Schoolgeld </w:t>
      </w:r>
    </w:p>
    <w:p w14:paraId="0000014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right="36"/>
        <w:rPr>
          <w:color w:val="000000"/>
          <w:sz w:val="18"/>
          <w:szCs w:val="18"/>
        </w:rPr>
      </w:pPr>
      <w:r>
        <w:rPr>
          <w:color w:val="000000"/>
          <w:sz w:val="18"/>
          <w:szCs w:val="18"/>
          <w:rtl w:val="0"/>
        </w:rPr>
        <w:t xml:space="preserve">In de bijlage vindt u de financiële verantwoording over het lopende schooljaar en een </w:t>
      </w:r>
      <w:r>
        <w:rPr>
          <w:sz w:val="18"/>
          <w:szCs w:val="18"/>
          <w:rtl w:val="0"/>
        </w:rPr>
        <w:t>raming</w:t>
      </w:r>
      <w:r>
        <w:rPr>
          <w:color w:val="000000"/>
          <w:sz w:val="18"/>
          <w:szCs w:val="18"/>
          <w:rtl w:val="0"/>
        </w:rPr>
        <w:t xml:space="preserve"> over de geschatte inkomsten en uitgaven voor het schooljaar 2025. </w:t>
      </w:r>
    </w:p>
    <w:p w14:paraId="0000014D">
      <w:pPr>
        <w:widowControl w:val="0"/>
        <w:pBdr>
          <w:top w:val="none" w:color="auto" w:sz="0" w:space="0"/>
          <w:left w:val="none" w:color="auto" w:sz="0" w:space="0"/>
          <w:bottom w:val="none" w:color="auto" w:sz="0" w:space="0"/>
          <w:right w:val="none" w:color="auto" w:sz="0" w:space="0"/>
          <w:between w:val="none" w:color="auto" w:sz="0" w:space="0"/>
        </w:pBdr>
        <w:spacing w:before="278"/>
        <w:rPr>
          <w:color w:val="000000"/>
          <w:sz w:val="18"/>
          <w:szCs w:val="18"/>
        </w:rPr>
      </w:pPr>
      <w:r>
        <w:rPr>
          <w:sz w:val="18"/>
          <w:szCs w:val="18"/>
          <w:rtl w:val="0"/>
        </w:rPr>
        <w:t>Officiële tarief</w:t>
      </w:r>
      <w:r>
        <w:rPr>
          <w:color w:val="000000"/>
          <w:sz w:val="18"/>
          <w:szCs w:val="18"/>
          <w:rtl w:val="0"/>
        </w:rPr>
        <w:t xml:space="preserve">: </w:t>
      </w:r>
    </w:p>
    <w:p w14:paraId="0000014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right="154"/>
        <w:rPr>
          <w:color w:val="000000"/>
          <w:sz w:val="18"/>
          <w:szCs w:val="18"/>
        </w:rPr>
      </w:pPr>
      <w:r>
        <w:rPr>
          <w:sz w:val="18"/>
          <w:szCs w:val="18"/>
          <w:rtl w:val="0"/>
        </w:rPr>
        <w:t>De officiële ouderbijdrage voor NTC de Knikkers bedraagt EUR 500 per kind per semester</w:t>
      </w:r>
      <w:r>
        <w:rPr>
          <w:color w:val="000000"/>
          <w:sz w:val="18"/>
          <w:szCs w:val="18"/>
          <w:rtl w:val="0"/>
        </w:rPr>
        <w:t xml:space="preserve">. Dit tarief geldt voor </w:t>
      </w:r>
      <w:r>
        <w:rPr>
          <w:sz w:val="18"/>
          <w:szCs w:val="18"/>
          <w:rtl w:val="0"/>
        </w:rPr>
        <w:t>gezinnen die inkomen in euro´s of dollars hebben.</w:t>
      </w:r>
      <w:r>
        <w:rPr>
          <w:color w:val="000000"/>
          <w:sz w:val="18"/>
          <w:szCs w:val="18"/>
          <w:rtl w:val="0"/>
        </w:rPr>
        <w:t xml:space="preserve"> </w:t>
      </w:r>
      <w:r>
        <w:rPr>
          <w:color w:val="000000"/>
          <w:sz w:val="18"/>
          <w:szCs w:val="18"/>
          <w:rtl w:val="0"/>
        </w:rPr>
        <w:br w:type="textWrapping"/>
      </w:r>
    </w:p>
    <w:p w14:paraId="0000014F">
      <w:pPr>
        <w:widowControl w:val="0"/>
        <w:pBdr>
          <w:top w:val="none" w:color="auto" w:sz="0" w:space="0"/>
          <w:left w:val="none" w:color="auto" w:sz="0" w:space="0"/>
          <w:bottom w:val="none" w:color="auto" w:sz="0" w:space="0"/>
          <w:right w:val="none" w:color="auto" w:sz="0" w:space="0"/>
          <w:between w:val="none" w:color="auto" w:sz="0" w:space="0"/>
        </w:pBdr>
        <w:rPr>
          <w:color w:val="000000"/>
          <w:sz w:val="18"/>
          <w:szCs w:val="18"/>
        </w:rPr>
      </w:pPr>
      <w:r>
        <w:rPr>
          <w:color w:val="000000"/>
          <w:sz w:val="18"/>
          <w:szCs w:val="18"/>
          <w:rtl w:val="0"/>
        </w:rPr>
        <w:t xml:space="preserve">Lokaal tarief: </w:t>
      </w:r>
    </w:p>
    <w:p w14:paraId="00000150">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right="509"/>
        <w:rPr>
          <w:color w:val="FF0000"/>
          <w:sz w:val="18"/>
          <w:szCs w:val="18"/>
        </w:rPr>
      </w:pPr>
      <w:r>
        <w:rPr>
          <w:sz w:val="18"/>
          <w:szCs w:val="18"/>
          <w:rtl w:val="0"/>
        </w:rPr>
        <w:t xml:space="preserve">Voor families die permanent/langdurig in Argentinië wonen en een inkomen in pesos hebben is er een tarief in pesos. </w:t>
      </w:r>
      <w:r>
        <w:rPr>
          <w:color w:val="000000"/>
          <w:sz w:val="18"/>
          <w:szCs w:val="18"/>
          <w:rtl w:val="0"/>
        </w:rPr>
        <w:t xml:space="preserve">De reden voor dit lokale tarief is de enorme devaluatie van de peso over de afgelopen jaren en het niveau van lokale salarissen. </w:t>
      </w:r>
      <w:r>
        <w:rPr>
          <w:color w:val="FF0000"/>
          <w:sz w:val="18"/>
          <w:szCs w:val="18"/>
          <w:rtl w:val="0"/>
        </w:rPr>
        <w:t>Het tarief voor 2025 is uitgekomen op het equivalent van 140 euro per semester, betaald in pesos. We schatten dat bedrag in op 210.000 per semester (1 usd = 1.500 pesos).</w:t>
      </w:r>
    </w:p>
    <w:p w14:paraId="00000151">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right="509"/>
        <w:rPr>
          <w:color w:val="FF0000"/>
          <w:sz w:val="18"/>
          <w:szCs w:val="18"/>
        </w:rPr>
      </w:pPr>
    </w:p>
    <w:p w14:paraId="00000152">
      <w:pPr>
        <w:widowControl w:val="0"/>
        <w:pBdr>
          <w:top w:val="none" w:color="auto" w:sz="0" w:space="0"/>
          <w:left w:val="none" w:color="auto" w:sz="0" w:space="0"/>
          <w:bottom w:val="none" w:color="auto" w:sz="0" w:space="0"/>
          <w:right w:val="none" w:color="auto" w:sz="0" w:space="0"/>
          <w:between w:val="none" w:color="auto" w:sz="0" w:space="0"/>
        </w:pBdr>
        <w:ind w:right="48"/>
        <w:rPr>
          <w:color w:val="000000"/>
          <w:sz w:val="18"/>
          <w:szCs w:val="18"/>
        </w:rPr>
      </w:pPr>
      <w:r>
        <w:rPr>
          <w:color w:val="000000"/>
          <w:sz w:val="18"/>
          <w:szCs w:val="18"/>
          <w:rtl w:val="0"/>
        </w:rPr>
        <w:t xml:space="preserve">Indien een leerling in de loop van het schooljaar start, zal een ouderbijdrage naar evenredigheid worden berekend. Indien een leerling zich terugtrekt voor het einde van het halve jaar, zal geen restitutie van de betaalde ouderbijdrage plaatsvinden. Bij korte en lange absenties van leerlingen vanwege vakanties of andere persoonlijke omstandigheden, wordt geen korting of restitutie toegepast op de ouderbijdragen. </w:t>
      </w:r>
    </w:p>
    <w:p w14:paraId="00000153">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339"/>
        <w:rPr>
          <w:color w:val="000000"/>
          <w:sz w:val="18"/>
          <w:szCs w:val="18"/>
        </w:rPr>
      </w:pPr>
      <w:r>
        <w:rPr>
          <w:color w:val="000000"/>
          <w:sz w:val="18"/>
          <w:szCs w:val="18"/>
          <w:rtl w:val="0"/>
        </w:rPr>
        <w:t xml:space="preserve">Alle nieuw geïnteresseerde families </w:t>
      </w:r>
      <w:r>
        <w:rPr>
          <w:sz w:val="18"/>
          <w:szCs w:val="18"/>
          <w:rtl w:val="0"/>
        </w:rPr>
        <w:t>kunnen, alvorens</w:t>
      </w:r>
      <w:r>
        <w:rPr>
          <w:color w:val="000000"/>
          <w:sz w:val="18"/>
          <w:szCs w:val="18"/>
          <w:rtl w:val="0"/>
        </w:rPr>
        <w:t xml:space="preserve"> zich in te </w:t>
      </w:r>
      <w:r>
        <w:rPr>
          <w:sz w:val="18"/>
          <w:szCs w:val="18"/>
          <w:rtl w:val="0"/>
        </w:rPr>
        <w:t>schrijven, vrijblijvend</w:t>
      </w:r>
      <w:r>
        <w:rPr>
          <w:color w:val="000000"/>
          <w:sz w:val="18"/>
          <w:szCs w:val="18"/>
          <w:rtl w:val="0"/>
        </w:rPr>
        <w:t xml:space="preserve"> gebruik maken van een proefles. Neem hiervoor gaarne contact op met het bestuur of de onderwijscoördinator. </w:t>
      </w:r>
    </w:p>
    <w:p w14:paraId="00000154">
      <w:pPr>
        <w:widowControl w:val="0"/>
        <w:pBdr>
          <w:top w:val="none" w:color="auto" w:sz="0" w:space="0"/>
          <w:left w:val="none" w:color="auto" w:sz="0" w:space="0"/>
          <w:bottom w:val="none" w:color="auto" w:sz="0" w:space="0"/>
          <w:right w:val="none" w:color="auto" w:sz="0" w:space="0"/>
          <w:between w:val="none" w:color="auto" w:sz="0" w:space="0"/>
        </w:pBdr>
        <w:spacing w:before="278" w:line="245" w:lineRule="auto"/>
        <w:ind w:right="252"/>
        <w:rPr>
          <w:color w:val="000000"/>
          <w:sz w:val="18"/>
          <w:szCs w:val="18"/>
        </w:rPr>
      </w:pPr>
      <w:r>
        <w:rPr>
          <w:color w:val="000000"/>
          <w:sz w:val="18"/>
          <w:szCs w:val="18"/>
          <w:rtl w:val="0"/>
        </w:rPr>
        <w:t xml:space="preserve">Voor de deelname aan de culturele dagen zal vaak een aparte bijdrage worden gevraagd. Het bedrag zal van te voren door de onderwijscoördinator via e-mail worden aangekondigd. Ook de kosten van het Knikkerkamp zijn niet meegerekend in het jaarbudget van de school. Hiervoor zal te zijner tijd een aparte bijdrage worden gevraagd aan de ouders. </w:t>
      </w:r>
    </w:p>
    <w:p w14:paraId="00000155">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color w:val="000000"/>
          <w:sz w:val="18"/>
          <w:szCs w:val="18"/>
        </w:rPr>
      </w:pPr>
      <w:r>
        <w:rPr>
          <w:color w:val="000000"/>
          <w:sz w:val="18"/>
          <w:szCs w:val="18"/>
          <w:rtl w:val="0"/>
        </w:rPr>
        <w:t xml:space="preserve">Bankgegevens: </w:t>
      </w:r>
    </w:p>
    <w:p w14:paraId="0000015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color w:val="000000"/>
          <w:sz w:val="18"/>
          <w:szCs w:val="18"/>
        </w:rPr>
      </w:pPr>
      <w:r>
        <w:rPr>
          <w:color w:val="000000"/>
          <w:sz w:val="18"/>
          <w:szCs w:val="18"/>
          <w:rtl w:val="0"/>
        </w:rPr>
        <w:t xml:space="preserve">Rekeningnummer: 45 75 81 212 </w:t>
      </w:r>
    </w:p>
    <w:p w14:paraId="0000015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color w:val="000000"/>
          <w:sz w:val="18"/>
          <w:szCs w:val="18"/>
        </w:rPr>
      </w:pPr>
      <w:r>
        <w:rPr>
          <w:color w:val="000000"/>
          <w:sz w:val="18"/>
          <w:szCs w:val="18"/>
          <w:rtl w:val="0"/>
        </w:rPr>
        <w:t xml:space="preserve">Rekeninghouder: Stichting de Knikkers </w:t>
      </w:r>
    </w:p>
    <w:p w14:paraId="0000015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Naam bank: ABN-AMRO </w:t>
      </w:r>
    </w:p>
    <w:p w14:paraId="0000015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7" w:firstLine="0"/>
        <w:rPr>
          <w:color w:val="000000"/>
          <w:sz w:val="18"/>
          <w:szCs w:val="18"/>
        </w:rPr>
      </w:pPr>
      <w:r>
        <w:rPr>
          <w:color w:val="000000"/>
          <w:sz w:val="18"/>
          <w:szCs w:val="18"/>
          <w:rtl w:val="0"/>
        </w:rPr>
        <w:t xml:space="preserve">IBAN-nummer: NL63ABNA0457581212 </w:t>
      </w:r>
    </w:p>
    <w:p w14:paraId="0000015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BIC nummer: ABNANL2A </w:t>
      </w:r>
    </w:p>
    <w:p w14:paraId="0000015B">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b/>
          <w:color w:val="000000"/>
          <w:sz w:val="18"/>
          <w:szCs w:val="18"/>
        </w:rPr>
      </w:pPr>
      <w:r>
        <w:rPr>
          <w:b/>
          <w:color w:val="000000"/>
          <w:sz w:val="18"/>
          <w:szCs w:val="18"/>
          <w:rtl w:val="0"/>
        </w:rPr>
        <w:t xml:space="preserve">8.4 Schoolverzekering voor leerlingen </w:t>
      </w:r>
    </w:p>
    <w:p w14:paraId="0000015C">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151" w:right="114" w:firstLine="5"/>
        <w:rPr>
          <w:color w:val="000000"/>
          <w:sz w:val="18"/>
          <w:szCs w:val="18"/>
        </w:rPr>
      </w:pPr>
      <w:r>
        <w:rPr>
          <w:color w:val="000000"/>
          <w:sz w:val="18"/>
          <w:szCs w:val="18"/>
          <w:rtl w:val="0"/>
        </w:rPr>
        <w:t xml:space="preserve">Onze school is in Nederland via de Stichting NOB verzekerd voor de wettelijke aansprakelijkheid (WA) tegenover derden. Het betreft schade die is ontstaan door toedoen of nalaten van leerlingen en leraren. Deze verzekering is van toepassing als de schade niet op een andere wijze gedekt wordt, bijvoorbeeld door een eigen WA-verzekering. Iedere familie dient zorg te dragen voor een individuele ziektekostenverzekering. </w:t>
      </w:r>
    </w:p>
    <w:p w14:paraId="0000015D">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u w:val="single"/>
        </w:rPr>
      </w:pPr>
    </w:p>
    <w:p w14:paraId="0000015E">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u w:val="single"/>
        </w:rPr>
      </w:pPr>
    </w:p>
    <w:p w14:paraId="0000015F">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u w:val="single"/>
          <w:rtl w:val="0"/>
        </w:rPr>
        <w:t>Bijlage1: Namen en adressen</w:t>
      </w:r>
      <w:r>
        <w:rPr>
          <w:b/>
          <w:color w:val="000000"/>
          <w:sz w:val="18"/>
          <w:szCs w:val="18"/>
          <w:rtl w:val="0"/>
        </w:rPr>
        <w:t xml:space="preserve"> </w:t>
      </w:r>
    </w:p>
    <w:p w14:paraId="00000160">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6" w:firstLine="0"/>
        <w:rPr>
          <w:color w:val="000000"/>
          <w:sz w:val="18"/>
          <w:szCs w:val="18"/>
        </w:rPr>
      </w:pPr>
      <w:r>
        <w:rPr>
          <w:color w:val="000000"/>
          <w:sz w:val="18"/>
          <w:szCs w:val="18"/>
          <w:rtl w:val="0"/>
        </w:rPr>
        <w:t xml:space="preserve">Onderwijsteam: </w:t>
      </w:r>
    </w:p>
    <w:p w14:paraId="00000161">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41" w:firstLine="0"/>
        <w:rPr>
          <w:color w:val="000000"/>
          <w:sz w:val="18"/>
          <w:szCs w:val="18"/>
        </w:rPr>
      </w:pPr>
      <w:r>
        <w:rPr>
          <w:color w:val="000000"/>
          <w:sz w:val="18"/>
          <w:szCs w:val="18"/>
          <w:rtl w:val="0"/>
        </w:rPr>
        <w:t xml:space="preserve">Onderwijscoördinator / Bevoegd Leerkracht: </w:t>
      </w:r>
    </w:p>
    <w:p w14:paraId="0000016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rPr>
          <w:color w:val="000000"/>
          <w:sz w:val="18"/>
          <w:szCs w:val="18"/>
          <w:rtl w:val="0"/>
        </w:rPr>
        <w:t>Marieke de Groot</w:t>
      </w:r>
    </w:p>
    <w:p w14:paraId="0000016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fldChar w:fldCharType="begin"/>
      </w:r>
      <w:r>
        <w:instrText xml:space="preserve"> HYPERLINK "about:blank" \h </w:instrText>
      </w:r>
      <w:r>
        <w:fldChar w:fldCharType="separate"/>
      </w:r>
      <w:r>
        <w:rPr>
          <w:color w:val="0000FF"/>
          <w:sz w:val="18"/>
          <w:szCs w:val="18"/>
          <w:u w:val="single"/>
          <w:rtl w:val="0"/>
        </w:rPr>
        <w:t>marieke</w:t>
      </w:r>
      <w:r>
        <w:rPr>
          <w:color w:val="0000FF"/>
          <w:sz w:val="18"/>
          <w:szCs w:val="18"/>
          <w:u w:val="single"/>
          <w:rtl w:val="0"/>
        </w:rPr>
        <w:fldChar w:fldCharType="end"/>
      </w:r>
      <w:r>
        <w:rPr>
          <w:color w:val="0000FF"/>
          <w:sz w:val="18"/>
          <w:szCs w:val="18"/>
          <w:u w:val="single"/>
          <w:rtl w:val="0"/>
        </w:rPr>
        <w:t>degroot24@gmail.com</w:t>
      </w:r>
      <w:r>
        <w:rPr>
          <w:color w:val="000000"/>
          <w:sz w:val="18"/>
          <w:szCs w:val="18"/>
          <w:rtl w:val="0"/>
        </w:rPr>
        <w:t xml:space="preserve"> of </w:t>
      </w:r>
      <w:r>
        <w:fldChar w:fldCharType="begin"/>
      </w:r>
      <w:r>
        <w:instrText xml:space="preserve"> HYPERLINK "mailto:deknikkers@gmail.com" \h </w:instrText>
      </w:r>
      <w:r>
        <w:fldChar w:fldCharType="separate"/>
      </w:r>
      <w:r>
        <w:rPr>
          <w:color w:val="0000FF"/>
          <w:sz w:val="18"/>
          <w:szCs w:val="18"/>
          <w:u w:val="single"/>
          <w:rtl w:val="0"/>
        </w:rPr>
        <w:t>deknikkers@gmail.com</w:t>
      </w:r>
      <w:r>
        <w:rPr>
          <w:color w:val="0000FF"/>
          <w:sz w:val="18"/>
          <w:szCs w:val="18"/>
          <w:u w:val="single"/>
          <w:rtl w:val="0"/>
        </w:rPr>
        <w:fldChar w:fldCharType="end"/>
      </w:r>
      <w:r>
        <w:rPr>
          <w:color w:val="000000"/>
          <w:sz w:val="18"/>
          <w:szCs w:val="18"/>
          <w:rtl w:val="0"/>
        </w:rPr>
        <w:t xml:space="preserve"> </w:t>
      </w:r>
    </w:p>
    <w:p w14:paraId="0000016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rPr>
          <w:color w:val="000000"/>
          <w:sz w:val="18"/>
          <w:szCs w:val="18"/>
          <w:rtl w:val="0"/>
        </w:rPr>
        <w:t>(leerkracht PO)</w:t>
      </w:r>
    </w:p>
    <w:p w14:paraId="00000165">
      <w:pPr>
        <w:widowControl w:val="0"/>
        <w:pBdr>
          <w:top w:val="none" w:color="auto" w:sz="0" w:space="0"/>
          <w:left w:val="none" w:color="auto" w:sz="0" w:space="0"/>
          <w:bottom w:val="none" w:color="auto" w:sz="0" w:space="0"/>
          <w:right w:val="none" w:color="auto" w:sz="0" w:space="0"/>
          <w:between w:val="none" w:color="auto" w:sz="0" w:space="0"/>
        </w:pBdr>
        <w:spacing w:before="289" w:line="240" w:lineRule="auto"/>
        <w:rPr>
          <w:color w:val="000000"/>
          <w:sz w:val="18"/>
          <w:szCs w:val="18"/>
        </w:rPr>
      </w:pPr>
      <w:r>
        <w:rPr>
          <w:color w:val="000000"/>
          <w:sz w:val="18"/>
          <w:szCs w:val="18"/>
          <w:rtl w:val="0"/>
        </w:rPr>
        <w:t xml:space="preserve">   </w:t>
      </w:r>
      <w:r>
        <w:rPr>
          <w:sz w:val="18"/>
          <w:szCs w:val="18"/>
          <w:rtl w:val="0"/>
        </w:rPr>
        <w:t>Bevoegd leerkracht</w:t>
      </w:r>
      <w:r>
        <w:rPr>
          <w:color w:val="000000"/>
          <w:sz w:val="18"/>
          <w:szCs w:val="18"/>
          <w:rtl w:val="0"/>
        </w:rPr>
        <w:t xml:space="preserve">: </w:t>
      </w:r>
    </w:p>
    <w:p w14:paraId="00000166">
      <w:pPr>
        <w:spacing w:line="240" w:lineRule="auto"/>
        <w:ind w:left="141" w:firstLine="0"/>
        <w:rPr>
          <w:sz w:val="18"/>
          <w:szCs w:val="18"/>
        </w:rPr>
      </w:pPr>
      <w:r>
        <w:rPr>
          <w:color w:val="000000"/>
          <w:sz w:val="18"/>
          <w:szCs w:val="18"/>
          <w:rtl w:val="0"/>
        </w:rPr>
        <w:t>Sharon Huysmans</w:t>
      </w:r>
      <w:r>
        <w:rPr>
          <w:sz w:val="18"/>
          <w:szCs w:val="18"/>
          <w:rtl w:val="0"/>
        </w:rPr>
        <w:t xml:space="preserve">                                                                                                                                                                                                                                       </w:t>
      </w:r>
      <w:r>
        <w:fldChar w:fldCharType="begin"/>
      </w:r>
      <w:r>
        <w:instrText xml:space="preserve"> HYPERLINK "mailto:Sharon.huysmans@hotmail.com" \h </w:instrText>
      </w:r>
      <w:r>
        <w:fldChar w:fldCharType="separate"/>
      </w:r>
      <w:r>
        <w:rPr>
          <w:color w:val="0000FF"/>
          <w:sz w:val="18"/>
          <w:szCs w:val="18"/>
          <w:u w:val="single"/>
          <w:rtl w:val="0"/>
        </w:rPr>
        <w:t>Sharon.huysmans@hotmail.com</w:t>
      </w:r>
      <w:r>
        <w:rPr>
          <w:color w:val="0000FF"/>
          <w:sz w:val="18"/>
          <w:szCs w:val="18"/>
          <w:u w:val="single"/>
          <w:rtl w:val="0"/>
        </w:rPr>
        <w:fldChar w:fldCharType="end"/>
      </w:r>
      <w:r>
        <w:rPr>
          <w:sz w:val="18"/>
          <w:szCs w:val="18"/>
          <w:rtl w:val="0"/>
        </w:rPr>
        <w:t xml:space="preserve"> </w:t>
      </w:r>
    </w:p>
    <w:p w14:paraId="00000167">
      <w:pPr>
        <w:spacing w:line="240" w:lineRule="auto"/>
        <w:ind w:left="141" w:firstLine="0"/>
        <w:rPr>
          <w:sz w:val="18"/>
          <w:szCs w:val="18"/>
        </w:rPr>
      </w:pPr>
      <w:r>
        <w:rPr>
          <w:sz w:val="18"/>
          <w:szCs w:val="18"/>
          <w:rtl w:val="0"/>
        </w:rPr>
        <w:t>(leerkracht VO)</w:t>
      </w:r>
    </w:p>
    <w:p w14:paraId="0000016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rPr>
          <w:color w:val="000000"/>
          <w:sz w:val="18"/>
          <w:szCs w:val="18"/>
        </w:rPr>
      </w:pPr>
    </w:p>
    <w:p w14:paraId="0000016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rPr>
          <w:color w:val="000000"/>
          <w:sz w:val="18"/>
          <w:szCs w:val="18"/>
          <w:rtl w:val="0"/>
        </w:rPr>
        <w:t xml:space="preserve">Bevoegd Leerkracht: </w:t>
      </w:r>
    </w:p>
    <w:p w14:paraId="0000016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rPr>
          <w:color w:val="000000"/>
          <w:sz w:val="18"/>
          <w:szCs w:val="18"/>
          <w:rtl w:val="0"/>
        </w:rPr>
        <w:t>Hanneke de Jong</w:t>
      </w:r>
    </w:p>
    <w:p w14:paraId="0000016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fldChar w:fldCharType="begin"/>
      </w:r>
      <w:r>
        <w:instrText xml:space="preserve"> HYPERLINK "mailto:naomi.deknikkers@gmail.com" \h </w:instrText>
      </w:r>
      <w:r>
        <w:fldChar w:fldCharType="separate"/>
      </w:r>
      <w:r>
        <w:rPr>
          <w:color w:val="0000FF"/>
          <w:sz w:val="18"/>
          <w:szCs w:val="18"/>
          <w:u w:val="single"/>
          <w:rtl w:val="0"/>
        </w:rPr>
        <w:t>naomi.deknikkers@gmail.com</w:t>
      </w:r>
      <w:r>
        <w:rPr>
          <w:color w:val="0000FF"/>
          <w:sz w:val="18"/>
          <w:szCs w:val="18"/>
          <w:u w:val="single"/>
          <w:rtl w:val="0"/>
        </w:rPr>
        <w:fldChar w:fldCharType="end"/>
      </w:r>
    </w:p>
    <w:p w14:paraId="0000016C">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1" w:firstLine="0"/>
        <w:rPr>
          <w:color w:val="000000"/>
          <w:sz w:val="18"/>
          <w:szCs w:val="18"/>
        </w:rPr>
      </w:pPr>
      <w:r>
        <w:rPr>
          <w:color w:val="000000"/>
          <w:sz w:val="18"/>
          <w:szCs w:val="18"/>
          <w:rtl w:val="0"/>
        </w:rPr>
        <w:t>(inval leerkracht)</w:t>
      </w:r>
    </w:p>
    <w:p w14:paraId="0000016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41" w:firstLine="0"/>
        <w:rPr>
          <w:sz w:val="18"/>
          <w:szCs w:val="18"/>
        </w:rPr>
      </w:pPr>
      <w:r>
        <w:rPr>
          <w:color w:val="000000"/>
          <w:sz w:val="18"/>
          <w:szCs w:val="18"/>
          <w:rtl w:val="0"/>
        </w:rPr>
        <w:t>Onderwijsassistent Kleuters:</w:t>
      </w:r>
    </w:p>
    <w:p w14:paraId="0000016E">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41" w:firstLine="0"/>
        <w:rPr>
          <w:sz w:val="18"/>
          <w:szCs w:val="18"/>
        </w:rPr>
      </w:pPr>
      <w:r>
        <w:rPr>
          <w:color w:val="000000"/>
          <w:sz w:val="18"/>
          <w:szCs w:val="18"/>
          <w:rtl w:val="0"/>
        </w:rPr>
        <w:t xml:space="preserve">Iris Enschede                                                                                    </w:t>
      </w:r>
      <w:r>
        <w:rPr>
          <w:sz w:val="18"/>
          <w:szCs w:val="18"/>
          <w:rtl w:val="0"/>
        </w:rPr>
        <w:t xml:space="preserve">                                                               </w:t>
      </w:r>
      <w:r>
        <w:rPr>
          <w:color w:val="000000"/>
          <w:sz w:val="18"/>
          <w:szCs w:val="18"/>
          <w:rtl w:val="0"/>
        </w:rPr>
        <w:t xml:space="preserve"> </w:t>
      </w:r>
      <w:r>
        <w:fldChar w:fldCharType="begin"/>
      </w:r>
      <w:r>
        <w:instrText xml:space="preserve"> HYPERLINK "mailto:i_enschede@hotmail.com" \h </w:instrText>
      </w:r>
      <w:r>
        <w:fldChar w:fldCharType="separate"/>
      </w:r>
      <w:r>
        <w:rPr>
          <w:color w:val="0000FF"/>
          <w:sz w:val="18"/>
          <w:szCs w:val="18"/>
          <w:u w:val="single"/>
          <w:rtl w:val="0"/>
        </w:rPr>
        <w:t>i_enschede@hotmail.com</w:t>
      </w:r>
      <w:r>
        <w:rPr>
          <w:color w:val="0000FF"/>
          <w:sz w:val="18"/>
          <w:szCs w:val="18"/>
          <w:u w:val="single"/>
          <w:rtl w:val="0"/>
        </w:rPr>
        <w:fldChar w:fldCharType="end"/>
      </w:r>
      <w:r>
        <w:rPr>
          <w:sz w:val="18"/>
          <w:szCs w:val="18"/>
          <w:rtl w:val="0"/>
        </w:rPr>
        <w:t xml:space="preserve">                                                                                                                                                             </w:t>
      </w:r>
    </w:p>
    <w:p w14:paraId="0000016F">
      <w:pPr>
        <w:widowControl w:val="0"/>
        <w:pBdr>
          <w:top w:val="none" w:color="auto" w:sz="0" w:space="0"/>
          <w:left w:val="none" w:color="auto" w:sz="0" w:space="0"/>
          <w:bottom w:val="none" w:color="auto" w:sz="0" w:space="0"/>
          <w:right w:val="none" w:color="auto" w:sz="0" w:space="0"/>
          <w:between w:val="none" w:color="auto" w:sz="0" w:space="0"/>
        </w:pBdr>
        <w:spacing w:before="283"/>
        <w:ind w:left="141" w:firstLine="0"/>
        <w:rPr>
          <w:color w:val="0000FF"/>
          <w:sz w:val="18"/>
          <w:szCs w:val="18"/>
          <w:u w:val="single"/>
        </w:rPr>
      </w:pPr>
      <w:r>
        <w:rPr>
          <w:color w:val="000000"/>
          <w:sz w:val="18"/>
          <w:szCs w:val="18"/>
          <w:rtl w:val="0"/>
        </w:rPr>
        <w:t>Onderwijsassistent PO:</w:t>
      </w:r>
      <w:r>
        <w:rPr>
          <w:sz w:val="18"/>
          <w:szCs w:val="18"/>
          <w:rtl w:val="0"/>
        </w:rPr>
        <w:t xml:space="preserve">                                                                                                                                                          </w:t>
      </w:r>
      <w:r>
        <w:rPr>
          <w:color w:val="000000"/>
          <w:sz w:val="18"/>
          <w:szCs w:val="18"/>
          <w:rtl w:val="0"/>
        </w:rPr>
        <w:t xml:space="preserve">Hanneke Vaanhold                                                                                    </w:t>
      </w:r>
      <w:r>
        <w:rPr>
          <w:sz w:val="18"/>
          <w:szCs w:val="18"/>
          <w:rtl w:val="0"/>
        </w:rPr>
        <w:t xml:space="preserve">                                                               </w:t>
      </w:r>
      <w:r>
        <w:rPr>
          <w:color w:val="000000"/>
          <w:sz w:val="18"/>
          <w:szCs w:val="18"/>
          <w:rtl w:val="0"/>
        </w:rPr>
        <w:t xml:space="preserve"> </w:t>
      </w:r>
      <w:r>
        <w:fldChar w:fldCharType="begin"/>
      </w:r>
      <w:r>
        <w:instrText xml:space="preserve"> HYPERLINK "mailto:hannekevaanhold@gmail.com" \h </w:instrText>
      </w:r>
      <w:r>
        <w:fldChar w:fldCharType="separate"/>
      </w:r>
      <w:r>
        <w:rPr>
          <w:color w:val="0000FF"/>
          <w:sz w:val="18"/>
          <w:szCs w:val="18"/>
          <w:u w:val="single"/>
          <w:rtl w:val="0"/>
        </w:rPr>
        <w:t>hannekevaanhold@gmail.com</w:t>
      </w:r>
      <w:r>
        <w:rPr>
          <w:color w:val="0000FF"/>
          <w:sz w:val="18"/>
          <w:szCs w:val="18"/>
          <w:u w:val="single"/>
          <w:rtl w:val="0"/>
        </w:rPr>
        <w:fldChar w:fldCharType="end"/>
      </w:r>
    </w:p>
    <w:p w14:paraId="00000170">
      <w:pPr>
        <w:widowControl w:val="0"/>
        <w:pBdr>
          <w:top w:val="none" w:color="auto" w:sz="0" w:space="0"/>
          <w:left w:val="none" w:color="auto" w:sz="0" w:space="0"/>
          <w:bottom w:val="none" w:color="auto" w:sz="0" w:space="0"/>
          <w:right w:val="none" w:color="auto" w:sz="0" w:space="0"/>
          <w:between w:val="none" w:color="auto" w:sz="0" w:space="0"/>
        </w:pBdr>
        <w:spacing w:before="283"/>
        <w:ind w:left="141" w:firstLine="0"/>
        <w:rPr>
          <w:sz w:val="18"/>
          <w:szCs w:val="18"/>
        </w:rPr>
      </w:pPr>
    </w:p>
    <w:p w14:paraId="00000171">
      <w:pPr>
        <w:ind w:left="158" w:firstLine="0"/>
        <w:rPr>
          <w:sz w:val="18"/>
          <w:szCs w:val="18"/>
        </w:rPr>
      </w:pPr>
      <w:r>
        <w:rPr>
          <w:color w:val="000000"/>
          <w:sz w:val="18"/>
          <w:szCs w:val="18"/>
          <w:rtl w:val="0"/>
        </w:rPr>
        <w:t xml:space="preserve">Schoolbestuur: </w:t>
      </w:r>
    </w:p>
    <w:p w14:paraId="00000172">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46" w:firstLine="0"/>
        <w:rPr>
          <w:color w:val="000000"/>
          <w:sz w:val="18"/>
          <w:szCs w:val="18"/>
        </w:rPr>
      </w:pPr>
      <w:r>
        <w:rPr>
          <w:color w:val="000000"/>
          <w:sz w:val="18"/>
          <w:szCs w:val="18"/>
          <w:rtl w:val="0"/>
        </w:rPr>
        <w:t xml:space="preserve">Voorzitter: </w:t>
      </w:r>
    </w:p>
    <w:p w14:paraId="0000017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6" w:firstLine="0"/>
        <w:rPr>
          <w:color w:val="000000"/>
          <w:sz w:val="18"/>
          <w:szCs w:val="18"/>
        </w:rPr>
      </w:pPr>
      <w:r>
        <w:rPr>
          <w:color w:val="000000"/>
          <w:sz w:val="18"/>
          <w:szCs w:val="18"/>
          <w:rtl w:val="0"/>
        </w:rPr>
        <w:t xml:space="preserve">AnnemarievanHarten, </w:t>
      </w:r>
      <w:r>
        <w:rPr>
          <w:color w:val="0000FF"/>
          <w:sz w:val="18"/>
          <w:szCs w:val="18"/>
          <w:u w:val="single"/>
          <w:rtl w:val="0"/>
        </w:rPr>
        <w:t>annemarievanharten@yahoo.co.uk</w:t>
      </w:r>
      <w:r>
        <w:rPr>
          <w:color w:val="0000FF"/>
          <w:sz w:val="18"/>
          <w:szCs w:val="18"/>
          <w:rtl w:val="0"/>
        </w:rPr>
        <w:t xml:space="preserve"> </w:t>
      </w:r>
    </w:p>
    <w:p w14:paraId="0000017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1" w:firstLine="0"/>
        <w:rPr>
          <w:color w:val="000000"/>
          <w:sz w:val="18"/>
          <w:szCs w:val="18"/>
        </w:rPr>
      </w:pPr>
      <w:r>
        <w:rPr>
          <w:color w:val="000000"/>
          <w:sz w:val="18"/>
          <w:szCs w:val="18"/>
          <w:rtl w:val="0"/>
        </w:rPr>
        <w:t xml:space="preserve">Tel: 1164527832 </w:t>
      </w:r>
    </w:p>
    <w:p w14:paraId="00000175">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4" w:firstLine="0"/>
        <w:rPr>
          <w:color w:val="000000"/>
          <w:sz w:val="18"/>
          <w:szCs w:val="18"/>
        </w:rPr>
      </w:pPr>
      <w:r>
        <w:rPr>
          <w:color w:val="000000"/>
          <w:sz w:val="18"/>
          <w:szCs w:val="18"/>
          <w:rtl w:val="0"/>
        </w:rPr>
        <w:t xml:space="preserve">Secretaris: </w:t>
      </w:r>
    </w:p>
    <w:p w14:paraId="0000017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color w:val="000000"/>
          <w:sz w:val="18"/>
          <w:szCs w:val="18"/>
        </w:rPr>
      </w:pPr>
      <w:r>
        <w:rPr>
          <w:color w:val="000000"/>
          <w:sz w:val="18"/>
          <w:szCs w:val="18"/>
          <w:rtl w:val="0"/>
        </w:rPr>
        <w:t xml:space="preserve">HannekeVaanhold, </w:t>
      </w:r>
      <w:r>
        <w:rPr>
          <w:color w:val="0000FF"/>
          <w:sz w:val="18"/>
          <w:szCs w:val="18"/>
          <w:u w:val="single"/>
          <w:rtl w:val="0"/>
        </w:rPr>
        <w:t>hannekevaanhold@gmail.com</w:t>
      </w:r>
      <w:r>
        <w:rPr>
          <w:color w:val="0000FF"/>
          <w:sz w:val="18"/>
          <w:szCs w:val="18"/>
          <w:rtl w:val="0"/>
        </w:rPr>
        <w:t xml:space="preserve"> </w:t>
      </w:r>
    </w:p>
    <w:p w14:paraId="0000017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Tel: 1167432917 </w:t>
      </w:r>
    </w:p>
    <w:p w14:paraId="00000178">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p>
    <w:p w14:paraId="00000179">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Penningmeester: </w:t>
      </w:r>
    </w:p>
    <w:p w14:paraId="0000017A">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Lennart Kooy, </w:t>
      </w:r>
      <w:r>
        <w:rPr>
          <w:color w:val="0000FF"/>
          <w:sz w:val="18"/>
          <w:szCs w:val="18"/>
          <w:u w:val="single"/>
          <w:rtl w:val="0"/>
        </w:rPr>
        <w:t>lwkooy@gmail.com</w:t>
      </w:r>
      <w:r>
        <w:rPr>
          <w:color w:val="0000FF"/>
          <w:sz w:val="18"/>
          <w:szCs w:val="18"/>
          <w:rtl w:val="0"/>
        </w:rPr>
        <w:t xml:space="preserve"> </w:t>
      </w:r>
    </w:p>
    <w:p w14:paraId="0000017B">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Tel: 1154871099</w:t>
      </w:r>
      <w:r>
        <w:rPr>
          <w:color w:val="000000"/>
          <w:sz w:val="18"/>
          <w:szCs w:val="18"/>
          <w:rtl w:val="0"/>
        </w:rPr>
        <w:br w:type="textWrapping"/>
      </w:r>
      <w:r>
        <w:rPr>
          <w:color w:val="000000"/>
          <w:sz w:val="18"/>
          <w:szCs w:val="18"/>
          <w:rtl w:val="0"/>
        </w:rPr>
        <w:br w:type="textWrapping"/>
      </w:r>
      <w:r>
        <w:rPr>
          <w:color w:val="000000"/>
          <w:sz w:val="18"/>
          <w:szCs w:val="18"/>
          <w:rtl w:val="0"/>
        </w:rPr>
        <w:t xml:space="preserve">Extern </w:t>
      </w:r>
    </w:p>
    <w:p w14:paraId="0000017C">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54" w:firstLine="0"/>
        <w:rPr>
          <w:i/>
          <w:color w:val="000000"/>
          <w:sz w:val="18"/>
          <w:szCs w:val="18"/>
        </w:rPr>
      </w:pPr>
      <w:r>
        <w:rPr>
          <w:i/>
          <w:color w:val="000000"/>
          <w:sz w:val="18"/>
          <w:szCs w:val="18"/>
          <w:rtl w:val="0"/>
        </w:rPr>
        <w:t xml:space="preserve">Inspecteur primair en voortgezet onderwijs buitenland </w:t>
      </w:r>
    </w:p>
    <w:p w14:paraId="0000017D">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1" w:firstLine="0"/>
        <w:rPr>
          <w:color w:val="000000"/>
          <w:sz w:val="18"/>
          <w:szCs w:val="18"/>
        </w:rPr>
      </w:pPr>
      <w:r>
        <w:rPr>
          <w:color w:val="000000"/>
          <w:sz w:val="18"/>
          <w:szCs w:val="18"/>
          <w:rtl w:val="0"/>
        </w:rPr>
        <w:t xml:space="preserve">Inspectie van het Onderwijs </w:t>
      </w:r>
    </w:p>
    <w:p w14:paraId="0000017E">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9" w:firstLine="0"/>
        <w:rPr>
          <w:color w:val="000000"/>
          <w:sz w:val="18"/>
          <w:szCs w:val="18"/>
        </w:rPr>
      </w:pPr>
      <w:r>
        <w:rPr>
          <w:color w:val="000000"/>
          <w:sz w:val="18"/>
          <w:szCs w:val="18"/>
          <w:rtl w:val="0"/>
        </w:rPr>
        <w:t xml:space="preserve">Correspondentieadres: </w:t>
      </w:r>
    </w:p>
    <w:p w14:paraId="0000017F">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8" w:firstLine="0"/>
        <w:rPr>
          <w:color w:val="000000"/>
          <w:sz w:val="18"/>
          <w:szCs w:val="18"/>
        </w:rPr>
      </w:pPr>
      <w:r>
        <w:rPr>
          <w:color w:val="000000"/>
          <w:sz w:val="18"/>
          <w:szCs w:val="18"/>
          <w:rtl w:val="0"/>
        </w:rPr>
        <w:t xml:space="preserve">Postbus 2730 </w:t>
      </w:r>
    </w:p>
    <w:p w14:paraId="00000180">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5" w:firstLine="0"/>
        <w:rPr>
          <w:color w:val="000000"/>
          <w:sz w:val="18"/>
          <w:szCs w:val="18"/>
        </w:rPr>
      </w:pPr>
      <w:r>
        <w:rPr>
          <w:color w:val="000000"/>
          <w:sz w:val="18"/>
          <w:szCs w:val="18"/>
          <w:rtl w:val="0"/>
        </w:rPr>
        <w:t xml:space="preserve">3500 GS Utrecht </w:t>
      </w:r>
    </w:p>
    <w:p w14:paraId="0000018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9" w:firstLine="0"/>
        <w:rPr>
          <w:color w:val="000000"/>
          <w:sz w:val="18"/>
          <w:szCs w:val="18"/>
        </w:rPr>
      </w:pPr>
      <w:r>
        <w:rPr>
          <w:color w:val="000000"/>
          <w:sz w:val="18"/>
          <w:szCs w:val="18"/>
          <w:rtl w:val="0"/>
        </w:rPr>
        <w:t xml:space="preserve">W: </w:t>
      </w:r>
      <w:r>
        <w:rPr>
          <w:color w:val="000000"/>
          <w:sz w:val="18"/>
          <w:szCs w:val="18"/>
          <w:u w:val="single"/>
          <w:rtl w:val="0"/>
        </w:rPr>
        <w:t>www.onderwijsinspectie.nl</w:t>
      </w:r>
      <w:r>
        <w:rPr>
          <w:color w:val="000000"/>
          <w:sz w:val="18"/>
          <w:szCs w:val="18"/>
          <w:rtl w:val="0"/>
        </w:rPr>
        <w:t xml:space="preserve"> </w:t>
      </w:r>
    </w:p>
    <w:p w14:paraId="00000182">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71" w:firstLine="0"/>
        <w:rPr>
          <w:i/>
          <w:color w:val="000000"/>
          <w:sz w:val="18"/>
          <w:szCs w:val="18"/>
        </w:rPr>
      </w:pPr>
      <w:r>
        <w:rPr>
          <w:i/>
          <w:color w:val="000000"/>
          <w:sz w:val="18"/>
          <w:szCs w:val="18"/>
          <w:rtl w:val="0"/>
        </w:rPr>
        <w:t xml:space="preserve">Vertrouwensinspecteur Stichting NOB </w:t>
      </w:r>
    </w:p>
    <w:p w14:paraId="00000183">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4" w:firstLine="0"/>
        <w:rPr>
          <w:color w:val="000000"/>
          <w:sz w:val="18"/>
          <w:szCs w:val="18"/>
        </w:rPr>
      </w:pPr>
      <w:r>
        <w:rPr>
          <w:color w:val="000000"/>
          <w:sz w:val="18"/>
          <w:szCs w:val="18"/>
          <w:rtl w:val="0"/>
        </w:rPr>
        <w:t xml:space="preserve">Rijksinspectiekantoor Utrecht Parkweg 20a </w:t>
      </w:r>
    </w:p>
    <w:p w14:paraId="00000184">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63" w:firstLine="0"/>
        <w:rPr>
          <w:color w:val="000000"/>
          <w:sz w:val="18"/>
          <w:szCs w:val="18"/>
        </w:rPr>
      </w:pPr>
      <w:r>
        <w:rPr>
          <w:color w:val="000000"/>
          <w:sz w:val="18"/>
          <w:szCs w:val="18"/>
          <w:rtl w:val="0"/>
        </w:rPr>
        <w:t xml:space="preserve">Postbus 2730 2271 AJ Voorburg </w:t>
      </w:r>
    </w:p>
    <w:p w14:paraId="00000185">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6" w:firstLine="0"/>
        <w:rPr>
          <w:color w:val="000000"/>
          <w:sz w:val="18"/>
          <w:szCs w:val="18"/>
        </w:rPr>
      </w:pPr>
      <w:r>
        <w:rPr>
          <w:color w:val="000000"/>
          <w:sz w:val="18"/>
          <w:szCs w:val="18"/>
          <w:rtl w:val="0"/>
        </w:rPr>
        <w:t xml:space="preserve">3500 GS Utrecht Nederland </w:t>
      </w:r>
    </w:p>
    <w:p w14:paraId="00000186">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52" w:firstLine="0"/>
        <w:rPr>
          <w:color w:val="000000"/>
          <w:sz w:val="18"/>
          <w:szCs w:val="18"/>
        </w:rPr>
      </w:pPr>
      <w:r>
        <w:rPr>
          <w:color w:val="000000"/>
          <w:sz w:val="18"/>
          <w:szCs w:val="18"/>
          <w:rtl w:val="0"/>
        </w:rPr>
        <w:t xml:space="preserve">T: + 31 30 670 60 01 T: + 31 70 386 66 46 </w:t>
      </w:r>
    </w:p>
    <w:p w14:paraId="00000187">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49" w:firstLine="0"/>
        <w:rPr>
          <w:color w:val="0000FF"/>
          <w:sz w:val="18"/>
          <w:szCs w:val="18"/>
        </w:rPr>
      </w:pPr>
      <w:r>
        <w:rPr>
          <w:color w:val="000000"/>
          <w:sz w:val="18"/>
          <w:szCs w:val="18"/>
          <w:rtl w:val="0"/>
        </w:rPr>
        <w:t xml:space="preserve">W: </w:t>
      </w:r>
      <w:r>
        <w:rPr>
          <w:color w:val="0000FF"/>
          <w:sz w:val="18"/>
          <w:szCs w:val="18"/>
          <w:u w:val="single"/>
          <w:rtl w:val="0"/>
        </w:rPr>
        <w:t xml:space="preserve">www.onderwijsinspectie.nl </w:t>
      </w:r>
      <w:r>
        <w:rPr>
          <w:color w:val="000000"/>
          <w:sz w:val="18"/>
          <w:szCs w:val="18"/>
          <w:rtl w:val="0"/>
        </w:rPr>
        <w:t xml:space="preserve">W: </w:t>
      </w:r>
      <w:r>
        <w:rPr>
          <w:color w:val="0000FF"/>
          <w:sz w:val="18"/>
          <w:szCs w:val="18"/>
          <w:u w:val="single"/>
          <w:rtl w:val="0"/>
        </w:rPr>
        <w:t>www.stichtingnob.nl</w:t>
      </w:r>
      <w:r>
        <w:rPr>
          <w:color w:val="0000FF"/>
          <w:sz w:val="18"/>
          <w:szCs w:val="18"/>
          <w:rtl w:val="0"/>
        </w:rPr>
        <w:t xml:space="preserve"> </w:t>
      </w:r>
      <w:r>
        <w:rPr>
          <w:color w:val="000000"/>
          <w:sz w:val="18"/>
          <w:szCs w:val="18"/>
          <w:rtl w:val="0"/>
        </w:rPr>
        <w:t xml:space="preserve">E: </w:t>
      </w:r>
      <w:r>
        <w:rPr>
          <w:color w:val="0000FF"/>
          <w:sz w:val="18"/>
          <w:szCs w:val="18"/>
          <w:u w:val="single"/>
          <w:rtl w:val="0"/>
        </w:rPr>
        <w:t>info@stichtingnob.nl</w:t>
      </w:r>
      <w:r>
        <w:rPr>
          <w:color w:val="0000FF"/>
          <w:sz w:val="18"/>
          <w:szCs w:val="18"/>
          <w:rtl w:val="0"/>
        </w:rPr>
        <w:t xml:space="preserve"> </w:t>
      </w:r>
    </w:p>
    <w:p w14:paraId="00000188">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89">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u w:val="single"/>
        </w:rPr>
      </w:pPr>
    </w:p>
    <w:p w14:paraId="0000018A">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u w:val="single"/>
        </w:rPr>
      </w:pPr>
    </w:p>
    <w:p w14:paraId="0000018B">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u w:val="single"/>
          <w:rtl w:val="0"/>
        </w:rPr>
        <w:t>Bijlage 2 De Wet op het Primair Onderwijs</w:t>
      </w:r>
      <w:r>
        <w:rPr>
          <w:b/>
          <w:color w:val="000000"/>
          <w:sz w:val="18"/>
          <w:szCs w:val="18"/>
          <w:rtl w:val="0"/>
        </w:rPr>
        <w:t xml:space="preserve"> </w:t>
      </w:r>
    </w:p>
    <w:p w14:paraId="0000018C">
      <w:pPr>
        <w:widowControl w:val="0"/>
        <w:pBdr>
          <w:top w:val="none" w:color="auto" w:sz="0" w:space="0"/>
          <w:left w:val="none" w:color="auto" w:sz="0" w:space="0"/>
          <w:bottom w:val="none" w:color="auto" w:sz="0" w:space="0"/>
          <w:right w:val="none" w:color="auto" w:sz="0" w:space="0"/>
          <w:between w:val="none" w:color="auto" w:sz="0" w:space="0"/>
        </w:pBdr>
        <w:spacing w:before="553" w:line="245" w:lineRule="auto"/>
        <w:ind w:left="153" w:right="523" w:firstLine="11"/>
        <w:rPr>
          <w:color w:val="000000"/>
          <w:sz w:val="18"/>
          <w:szCs w:val="18"/>
        </w:rPr>
      </w:pPr>
      <w:r>
        <w:rPr>
          <w:color w:val="000000"/>
          <w:sz w:val="18"/>
          <w:szCs w:val="18"/>
          <w:rtl w:val="0"/>
        </w:rPr>
        <w:t xml:space="preserve">Hieronder volgt de tekst van artikel 13 van de Wet op het Primair Onderwijs, zoals geldig vanaf 20 maart 2002: </w:t>
      </w:r>
    </w:p>
    <w:p w14:paraId="0000018D">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46" w:firstLine="0"/>
        <w:rPr>
          <w:color w:val="000000"/>
          <w:sz w:val="18"/>
          <w:szCs w:val="18"/>
        </w:rPr>
      </w:pPr>
      <w:r>
        <w:rPr>
          <w:color w:val="000000"/>
          <w:sz w:val="18"/>
          <w:szCs w:val="18"/>
          <w:rtl w:val="0"/>
        </w:rPr>
        <w:t xml:space="preserve">Artikel 13. Schoolgids </w:t>
      </w:r>
    </w:p>
    <w:p w14:paraId="0000018E">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64" w:firstLine="0"/>
        <w:rPr>
          <w:color w:val="000000"/>
          <w:sz w:val="18"/>
          <w:szCs w:val="18"/>
        </w:rPr>
      </w:pPr>
      <w:r>
        <w:rPr>
          <w:color w:val="000000"/>
          <w:sz w:val="18"/>
          <w:szCs w:val="18"/>
          <w:rtl w:val="0"/>
        </w:rPr>
        <w:t xml:space="preserve">1 </w:t>
      </w:r>
    </w:p>
    <w:p w14:paraId="0000018F">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3" w:right="681" w:firstLine="10"/>
        <w:rPr>
          <w:color w:val="000000"/>
          <w:sz w:val="18"/>
          <w:szCs w:val="18"/>
        </w:rPr>
      </w:pPr>
      <w:r>
        <w:rPr>
          <w:color w:val="000000"/>
          <w:sz w:val="18"/>
          <w:szCs w:val="18"/>
          <w:rtl w:val="0"/>
        </w:rPr>
        <w:t xml:space="preserve">De schoolgids bevat voor ouders, verzorgers en leerlingen informatie over de werkwijze van de school en bevat in elk geval informatie over: </w:t>
      </w:r>
    </w:p>
    <w:p w14:paraId="00000190">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359" w:firstLine="0"/>
        <w:rPr>
          <w:color w:val="000000"/>
          <w:sz w:val="18"/>
          <w:szCs w:val="18"/>
        </w:rPr>
      </w:pPr>
      <w:r>
        <w:rPr>
          <w:color w:val="000000"/>
          <w:sz w:val="18"/>
          <w:szCs w:val="18"/>
          <w:rtl w:val="0"/>
        </w:rPr>
        <w:t xml:space="preserve">de doelen van het onderwijs en de resultaten die met het onderwijsleerproces worden bereikt, met dien verstande dat bij algemene maatregel van bestuur voorschriften kunnen worden gegeven met betrekking tot de wijze waarop </w:t>
      </w:r>
    </w:p>
    <w:p w14:paraId="00000191">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154" w:right="1756" w:firstLine="0"/>
        <w:rPr>
          <w:color w:val="000000"/>
          <w:sz w:val="18"/>
          <w:szCs w:val="18"/>
        </w:rPr>
      </w:pPr>
      <w:r>
        <w:rPr>
          <w:color w:val="000000"/>
          <w:sz w:val="18"/>
          <w:szCs w:val="18"/>
          <w:rtl w:val="0"/>
        </w:rPr>
        <w:t xml:space="preserve">- de resultaten worden beschreven die met het onderwijsleerproces worden bereikt, - en de context wordt vermeld waarin de onder punt 1 bedoelde resultaten dienen te worden geplaatst, </w:t>
      </w:r>
    </w:p>
    <w:p w14:paraId="00000192">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54" w:firstLine="0"/>
        <w:rPr>
          <w:color w:val="000000"/>
          <w:sz w:val="18"/>
          <w:szCs w:val="18"/>
        </w:rPr>
      </w:pPr>
      <w:r>
        <w:rPr>
          <w:color w:val="000000"/>
          <w:sz w:val="18"/>
          <w:szCs w:val="18"/>
          <w:rtl w:val="0"/>
        </w:rPr>
        <w:t xml:space="preserve">- de wijze waarop aan de zorg voor het jonge kind wordt vormgegeven, </w:t>
      </w:r>
    </w:p>
    <w:p w14:paraId="00000193">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333" w:right="1471" w:hanging="179"/>
        <w:rPr>
          <w:color w:val="000000"/>
          <w:sz w:val="18"/>
          <w:szCs w:val="18"/>
        </w:rPr>
      </w:pPr>
      <w:r>
        <w:rPr>
          <w:color w:val="000000"/>
          <w:sz w:val="18"/>
          <w:szCs w:val="18"/>
          <w:rtl w:val="0"/>
        </w:rPr>
        <w:t xml:space="preserve">- de wijze waarop aan de zorg voor leerlingen met specifieke onderwijsbehoeften wordt vormgegeven, </w:t>
      </w:r>
    </w:p>
    <w:p w14:paraId="00000194">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54" w:firstLine="0"/>
        <w:rPr>
          <w:color w:val="000000"/>
          <w:sz w:val="18"/>
          <w:szCs w:val="18"/>
        </w:rPr>
      </w:pPr>
      <w:r>
        <w:rPr>
          <w:color w:val="000000"/>
          <w:sz w:val="18"/>
          <w:szCs w:val="18"/>
          <w:rtl w:val="0"/>
        </w:rPr>
        <w:t xml:space="preserve">- de wijze waarop de verplichte onderwijstijd wordt benut, </w:t>
      </w:r>
    </w:p>
    <w:p w14:paraId="00000195">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276" w:right="1569" w:hanging="122"/>
        <w:rPr>
          <w:color w:val="000000"/>
          <w:sz w:val="18"/>
          <w:szCs w:val="18"/>
        </w:rPr>
      </w:pPr>
      <w:r>
        <w:rPr>
          <w:color w:val="000000"/>
          <w:sz w:val="18"/>
          <w:szCs w:val="18"/>
          <w:rtl w:val="0"/>
        </w:rPr>
        <w:t xml:space="preserve">- de geldelijke bijdrage, bedoeld in artikel 40, eerste lid, waarbij een ontwerp van een overeenkomst voor een dergelijke bijdrage, die voldoet aan de eisen die in artikel 40, eerste lid, zijn geformuleerd, in de schoolgids wordt opgenomen, </w:t>
      </w:r>
    </w:p>
    <w:p w14:paraId="00000196">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269" w:right="868" w:hanging="115"/>
        <w:rPr>
          <w:color w:val="000000"/>
          <w:sz w:val="18"/>
          <w:szCs w:val="18"/>
        </w:rPr>
      </w:pPr>
      <w:r>
        <w:rPr>
          <w:color w:val="000000"/>
          <w:sz w:val="18"/>
          <w:szCs w:val="18"/>
          <w:rtl w:val="0"/>
        </w:rPr>
        <w:t xml:space="preserve">- de rechten en plichten van de ouders, de verzorgers, de leerlingen en het bevoegd gezag, waaronder de informatie over de klachtenregeling, bedoeld in artikel 14, en de gronden voor vrijstelling van het onderwijs, bedoeld in artikel 41, tweede lid, en </w:t>
      </w:r>
    </w:p>
    <w:p w14:paraId="00000197">
      <w:pPr>
        <w:widowControl w:val="0"/>
        <w:pBdr>
          <w:top w:val="none" w:color="auto" w:sz="0" w:space="0"/>
          <w:left w:val="none" w:color="auto" w:sz="0" w:space="0"/>
          <w:bottom w:val="none" w:color="auto" w:sz="0" w:space="0"/>
          <w:right w:val="none" w:color="auto" w:sz="0" w:space="0"/>
          <w:between w:val="none" w:color="auto" w:sz="0" w:space="0"/>
        </w:pBdr>
        <w:spacing w:before="8" w:line="245" w:lineRule="auto"/>
        <w:ind w:left="283" w:right="1231" w:hanging="129"/>
        <w:rPr>
          <w:color w:val="000000"/>
          <w:sz w:val="18"/>
          <w:szCs w:val="18"/>
        </w:rPr>
      </w:pPr>
      <w:r>
        <w:rPr>
          <w:color w:val="000000"/>
          <w:sz w:val="18"/>
          <w:szCs w:val="18"/>
          <w:rtl w:val="0"/>
        </w:rPr>
        <w:t xml:space="preserve">- de wijze waarop het bevoegd gezag omgaat met de in artikel 12, eerste lid, omschreven bijdragen. </w:t>
      </w:r>
    </w:p>
    <w:p w14:paraId="00000198">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2" w:firstLine="0"/>
        <w:rPr>
          <w:color w:val="000000"/>
          <w:sz w:val="18"/>
          <w:szCs w:val="18"/>
        </w:rPr>
      </w:pPr>
      <w:r>
        <w:rPr>
          <w:color w:val="000000"/>
          <w:sz w:val="18"/>
          <w:szCs w:val="18"/>
          <w:rtl w:val="0"/>
        </w:rPr>
        <w:t xml:space="preserve">2 </w:t>
      </w:r>
    </w:p>
    <w:p w14:paraId="00000199">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37" w:right="106" w:firstLine="26"/>
        <w:rPr>
          <w:color w:val="000000"/>
          <w:sz w:val="18"/>
          <w:szCs w:val="18"/>
        </w:rPr>
      </w:pPr>
      <w:r>
        <w:rPr>
          <w:color w:val="000000"/>
          <w:sz w:val="18"/>
          <w:szCs w:val="18"/>
          <w:rtl w:val="0"/>
        </w:rPr>
        <w:t xml:space="preserve">Het bevoegd gezag reikt de schoolgids uit aan de ouders dan wel de verzorgers bij de inschrijving en jaarlijks na de vaststelling van de schoolgids. </w:t>
      </w:r>
    </w:p>
    <w:p w14:paraId="0000019A">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5" w:firstLine="0"/>
        <w:rPr>
          <w:color w:val="000000"/>
          <w:sz w:val="18"/>
          <w:szCs w:val="18"/>
        </w:rPr>
      </w:pPr>
      <w:r>
        <w:rPr>
          <w:color w:val="000000"/>
          <w:sz w:val="18"/>
          <w:szCs w:val="18"/>
          <w:rtl w:val="0"/>
        </w:rPr>
        <w:t xml:space="preserve">3 </w:t>
      </w:r>
    </w:p>
    <w:p w14:paraId="0000019B">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54" w:right="94" w:firstLine="9"/>
        <w:rPr>
          <w:color w:val="000000"/>
          <w:sz w:val="18"/>
          <w:szCs w:val="18"/>
        </w:rPr>
      </w:pPr>
      <w:r>
        <w:rPr>
          <w:color w:val="000000"/>
          <w:sz w:val="18"/>
          <w:szCs w:val="18"/>
          <w:rtl w:val="0"/>
        </w:rPr>
        <w:t xml:space="preserve">De algemene maatregel van bestuur, bedoeld in het eerste lid, onder a, wordt aan de beide kamers der Staten-Generaal overgelegd. De maatregel treedt niet in werking dan nadat 4 weken na de overlegging zijn verstreken en gedurende die termijn niet door of namens een der kamers de wens te kennen wordt gegeven dat het in die maatregel geregelde onderwerp bij de wet wordt geregeld. Als dan wordt een daartoe strekkend wetsvoorstel zo spoedig mogelijk ingediend. </w:t>
      </w:r>
    </w:p>
    <w:p w14:paraId="0000019C">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51" w:firstLine="0"/>
        <w:rPr>
          <w:color w:val="000000"/>
          <w:sz w:val="18"/>
          <w:szCs w:val="18"/>
        </w:rPr>
      </w:pPr>
      <w:r>
        <w:rPr>
          <w:color w:val="000000"/>
          <w:sz w:val="18"/>
          <w:szCs w:val="18"/>
          <w:rtl w:val="0"/>
        </w:rPr>
        <w:t xml:space="preserve">Toelichting door Stichting NOB </w:t>
      </w:r>
    </w:p>
    <w:p w14:paraId="0000019D">
      <w:pPr>
        <w:widowControl w:val="0"/>
        <w:pBdr>
          <w:top w:val="none" w:color="auto" w:sz="0" w:space="0"/>
          <w:left w:val="none" w:color="auto" w:sz="0" w:space="0"/>
          <w:bottom w:val="none" w:color="auto" w:sz="0" w:space="0"/>
          <w:right w:val="none" w:color="auto" w:sz="0" w:space="0"/>
          <w:between w:val="none" w:color="auto" w:sz="0" w:space="0"/>
        </w:pBdr>
        <w:spacing w:before="283" w:line="240" w:lineRule="auto"/>
        <w:ind w:left="163" w:firstLine="0"/>
        <w:rPr>
          <w:color w:val="000000"/>
          <w:sz w:val="18"/>
          <w:szCs w:val="18"/>
        </w:rPr>
      </w:pPr>
      <w:r>
        <w:rPr>
          <w:color w:val="000000"/>
          <w:sz w:val="18"/>
          <w:szCs w:val="18"/>
          <w:rtl w:val="0"/>
        </w:rPr>
        <w:t xml:space="preserve">De genoemde onderwerpen zijn alle in de Raamschoolgids opgenomen. </w:t>
      </w:r>
    </w:p>
    <w:p w14:paraId="0000019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49" w:right="216" w:firstLine="14"/>
        <w:rPr>
          <w:color w:val="000000"/>
          <w:sz w:val="18"/>
          <w:szCs w:val="18"/>
        </w:rPr>
      </w:pPr>
      <w:r>
        <w:rPr>
          <w:color w:val="000000"/>
          <w:sz w:val="18"/>
          <w:szCs w:val="18"/>
          <w:rtl w:val="0"/>
        </w:rPr>
        <w:t xml:space="preserve">Het bepaalde onder e. en g. heeft in de Nederlandse situatie te maken met de verantwoording van materialen en/of gelden die door ouders (artikel 40, eerste lid) en onder andere door sponsoring (artikel 12, eerste lid) worden verkregen en die ten goede komen aan het onderwijs. In de buitenlandsituatie vormen de geldelijke bijdrage van ouders en/of één of meer bedrijven juist de belangrijkste inkomstenbron voor een school. Naar analogie van de situatie in Nederland dient onze inziens in de schoolgids de vermelding te worden opgenomen op welke wijze de school verantwoording aflegt voor de inzet van de door ouders en/of bedrijven beschikbaar gestelde middelen. </w:t>
      </w:r>
    </w:p>
    <w:p w14:paraId="0000019F">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rPr>
      </w:pPr>
    </w:p>
    <w:p w14:paraId="000001A0">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highlight w:val="yellow"/>
          <w:u w:val="single"/>
        </w:rPr>
      </w:pPr>
    </w:p>
    <w:p w14:paraId="000001A1">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rPr>
      </w:pPr>
      <w:r>
        <w:rPr>
          <w:b/>
          <w:color w:val="000000"/>
          <w:sz w:val="18"/>
          <w:szCs w:val="18"/>
          <w:u w:val="single"/>
          <w:rtl w:val="0"/>
        </w:rPr>
        <w:t>Bijlage 3 Jaarkalender 2025</w:t>
      </w:r>
      <w:r>
        <w:rPr>
          <w:b/>
          <w:color w:val="000000"/>
          <w:sz w:val="18"/>
          <w:szCs w:val="18"/>
          <w:rtl w:val="0"/>
        </w:rPr>
        <w:t xml:space="preserve"> </w:t>
      </w:r>
    </w:p>
    <w:p w14:paraId="000001A2">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rPr>
      </w:pPr>
    </w:p>
    <w:p w14:paraId="000001A3">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Januari, Februari zomervakantie (einde vakantie worden groepen en individuele leerdoelen vastgelegd)</w:t>
      </w:r>
    </w:p>
    <w:p w14:paraId="000001A4">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5">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 xml:space="preserve">Week  van 1 Maart  start Knikkers jaar 2025 (en6tweede helft van schooljaar, sinds gelijk lopen NL per ‘22)                                               </w:t>
      </w:r>
    </w:p>
    <w:p w14:paraId="000001A6">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7">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27 April  Culturele dag Koningsdag (PO en VO)</w:t>
      </w:r>
    </w:p>
    <w:p w14:paraId="000001A8">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9">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Juni oudergesprekken en rapporten</w:t>
      </w:r>
    </w:p>
    <w:p w14:paraId="000001AA">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B">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8 juni: nederlandse film middag op groot scherm (PO en VO)</w:t>
      </w:r>
    </w:p>
    <w:p w14:paraId="000001AC">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D">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12 juni: Pannenkoeken avond en afscheid meester Jur</w:t>
      </w:r>
    </w:p>
    <w:p w14:paraId="000001AE">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AF">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Juli wintervakantie</w:t>
      </w:r>
    </w:p>
    <w:p w14:paraId="000001B0">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1">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Week van 1 Augustus: start tweede helft van Knikkers jaar en start voor R1 in nieuwe groep (in principe)</w:t>
      </w:r>
    </w:p>
    <w:p w14:paraId="000001B2">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3">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31 augustus: Culturele middag – afsluiting winter project</w:t>
      </w:r>
    </w:p>
    <w:p w14:paraId="000001B4">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5">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September Diatoetsen PO en VO</w:t>
      </w:r>
    </w:p>
    <w:p w14:paraId="000001B6">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7">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 xml:space="preserve">26 Oktober: Culturele dag Kinderboekenweek PO </w:t>
      </w:r>
    </w:p>
    <w:p w14:paraId="000001B8">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9">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November (nog in te plannen): VO middag rond de Nederlandse jeugdliteratuur</w:t>
      </w:r>
    </w:p>
    <w:p w14:paraId="000001BA">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B">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30 november: Culturele dag Sinterklaas PO</w:t>
      </w:r>
    </w:p>
    <w:p w14:paraId="000001BC">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D">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 xml:space="preserve">Eerste week december: slot evenement VO </w:t>
      </w:r>
    </w:p>
    <w:p w14:paraId="000001BE">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BF">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r>
        <w:rPr>
          <w:color w:val="000000"/>
          <w:sz w:val="18"/>
          <w:szCs w:val="18"/>
          <w:rtl w:val="0"/>
        </w:rPr>
        <w:t>Week van 2 December oudergesprekken en rapporten en begin zomervakantie</w:t>
      </w:r>
    </w:p>
    <w:p w14:paraId="000001C0">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color w:val="000000"/>
          <w:sz w:val="18"/>
          <w:szCs w:val="18"/>
        </w:rPr>
      </w:pPr>
    </w:p>
    <w:p w14:paraId="000001C1">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rPr>
      </w:pPr>
      <w:r>
        <w:rPr>
          <w:color w:val="000000"/>
          <w:sz w:val="18"/>
          <w:szCs w:val="18"/>
          <w:rtl w:val="0"/>
        </w:rPr>
        <w:t xml:space="preserve">(Methode toetsen en ‘methode-onafhankelijke toetsen’ vinden plaats door het jaar </w:t>
      </w:r>
      <w:r>
        <w:rPr>
          <w:b/>
          <w:color w:val="000000"/>
          <w:sz w:val="18"/>
          <w:szCs w:val="18"/>
          <w:rtl w:val="0"/>
        </w:rPr>
        <w:t>heen)</w:t>
      </w:r>
    </w:p>
    <w:p w14:paraId="000001C2">
      <w:pPr>
        <w:widowControl w:val="0"/>
        <w:pBdr>
          <w:top w:val="none" w:color="auto" w:sz="0" w:space="0"/>
          <w:left w:val="none" w:color="auto" w:sz="0" w:space="0"/>
          <w:bottom w:val="none" w:color="auto" w:sz="0" w:space="0"/>
          <w:right w:val="none" w:color="auto" w:sz="0" w:space="0"/>
          <w:between w:val="none" w:color="auto" w:sz="0" w:space="0"/>
        </w:pBdr>
        <w:spacing w:line="240" w:lineRule="auto"/>
        <w:ind w:left="163" w:firstLine="0"/>
        <w:rPr>
          <w:b/>
          <w:color w:val="000000"/>
          <w:sz w:val="18"/>
          <w:szCs w:val="18"/>
        </w:rPr>
      </w:pPr>
    </w:p>
    <w:p w14:paraId="000001C3">
      <w:pPr>
        <w:widowControl w:val="0"/>
        <w:pBdr>
          <w:top w:val="none" w:color="auto" w:sz="0" w:space="0"/>
          <w:left w:val="none" w:color="auto" w:sz="0" w:space="0"/>
          <w:bottom w:val="none" w:color="auto" w:sz="0" w:space="0"/>
          <w:right w:val="none" w:color="auto" w:sz="0" w:space="0"/>
          <w:between w:val="none" w:color="auto" w:sz="0" w:space="0"/>
        </w:pBdr>
        <w:ind w:left="163" w:firstLine="0"/>
        <w:rPr>
          <w:b/>
          <w:color w:val="FF0000"/>
          <w:sz w:val="18"/>
          <w:szCs w:val="18"/>
          <w:u w:val="single"/>
        </w:rPr>
      </w:pPr>
    </w:p>
    <w:p w14:paraId="000001C4">
      <w:pPr>
        <w:widowControl w:val="0"/>
        <w:pBdr>
          <w:top w:val="none" w:color="auto" w:sz="0" w:space="0"/>
          <w:left w:val="none" w:color="auto" w:sz="0" w:space="0"/>
          <w:bottom w:val="none" w:color="auto" w:sz="0" w:space="0"/>
          <w:right w:val="none" w:color="auto" w:sz="0" w:space="0"/>
          <w:between w:val="none" w:color="auto" w:sz="0" w:space="0"/>
        </w:pBdr>
        <w:ind w:left="163" w:firstLine="0"/>
        <w:rPr>
          <w:b/>
          <w:color w:val="FF0000"/>
          <w:sz w:val="18"/>
          <w:szCs w:val="18"/>
          <w:u w:val="single"/>
        </w:rPr>
      </w:pPr>
    </w:p>
    <w:p w14:paraId="000001C5">
      <w:pPr>
        <w:widowControl w:val="0"/>
        <w:spacing w:line="240" w:lineRule="auto"/>
        <w:rPr>
          <w:b/>
          <w:sz w:val="18"/>
          <w:szCs w:val="18"/>
        </w:rPr>
      </w:pPr>
      <w:r>
        <w:rPr>
          <w:b/>
          <w:sz w:val="18"/>
          <w:szCs w:val="18"/>
          <w:u w:val="single"/>
          <w:rtl w:val="0"/>
        </w:rPr>
        <w:t>Bijlage 4 Financiële verantwoording over het schooljaar 2024</w:t>
      </w:r>
      <w:r>
        <w:rPr>
          <w:b/>
          <w:sz w:val="18"/>
          <w:szCs w:val="18"/>
          <w:rtl w:val="0"/>
        </w:rPr>
        <w:t xml:space="preserve"> </w:t>
      </w:r>
    </w:p>
    <w:p w14:paraId="000001C6">
      <w:pPr>
        <w:widowControl w:val="0"/>
        <w:spacing w:line="240" w:lineRule="auto"/>
        <w:rPr>
          <w:b/>
          <w:sz w:val="18"/>
          <w:szCs w:val="18"/>
        </w:rPr>
      </w:pPr>
    </w:p>
    <w:p w14:paraId="000001C7">
      <w:pPr>
        <w:widowControl w:val="0"/>
        <w:rPr>
          <w:sz w:val="20"/>
          <w:szCs w:val="20"/>
        </w:rPr>
      </w:pPr>
      <w:r>
        <w:rPr>
          <w:sz w:val="20"/>
          <w:szCs w:val="20"/>
          <w:rtl w:val="0"/>
        </w:rPr>
        <w:t xml:space="preserve">De afgelopen jaren heeft Argentinië een sterke financiële hervorming doorgemaakt. Dit heeft een aanzienlijke doorwerking gehad op de kosten voor levensonderhoud en de verhouding van de nationale munt (peso) ten opzichte van de euro. </w:t>
      </w:r>
    </w:p>
    <w:p w14:paraId="000001C8">
      <w:pPr>
        <w:widowControl w:val="0"/>
        <w:rPr>
          <w:sz w:val="20"/>
          <w:szCs w:val="20"/>
        </w:rPr>
      </w:pPr>
      <w:r>
        <w:rPr>
          <w:sz w:val="20"/>
          <w:szCs w:val="20"/>
          <w:rtl w:val="0"/>
        </w:rPr>
        <w:br w:type="textWrapping"/>
      </w:r>
      <w:r>
        <w:rPr>
          <w:sz w:val="20"/>
          <w:szCs w:val="20"/>
          <w:rtl w:val="0"/>
        </w:rPr>
        <w:t>Om deze reden moest de vergoeding voor de onderwijscoördinator uit Nederland flink worden verhoogd om een marktconform aanbod te kunnen doen, waarmee de maandelijkse kosten adequaat gedekt konden worden. Argentinië is historisch gezien een land waar de munt sterk fluctueert. Het is waarschijnlijk dat op een ander moment in de economische cyclus de vergoeding voor een onderwijscoördinator weer gunstiger zal uitvallen.</w:t>
      </w:r>
    </w:p>
    <w:p w14:paraId="000001C9">
      <w:pPr>
        <w:widowControl w:val="0"/>
        <w:rPr>
          <w:sz w:val="20"/>
          <w:szCs w:val="20"/>
        </w:rPr>
      </w:pPr>
    </w:p>
    <w:tbl>
      <w:tblPr>
        <w:tblStyle w:val="31"/>
        <w:tblW w:w="7567" w:type="dxa"/>
        <w:tblInd w:w="0" w:type="dxa"/>
        <w:tblLayout w:type="fixed"/>
        <w:tblCellMar>
          <w:top w:w="0" w:type="dxa"/>
          <w:left w:w="115" w:type="dxa"/>
          <w:bottom w:w="0" w:type="dxa"/>
          <w:right w:w="115" w:type="dxa"/>
        </w:tblCellMar>
      </w:tblPr>
      <w:tblGrid>
        <w:gridCol w:w="1036"/>
        <w:gridCol w:w="2551"/>
        <w:gridCol w:w="2005"/>
        <w:gridCol w:w="1975"/>
      </w:tblGrid>
      <w:tr w14:paraId="19CDDB4B">
        <w:tblPrEx>
          <w:tblCellMar>
            <w:top w:w="0" w:type="dxa"/>
            <w:left w:w="115" w:type="dxa"/>
            <w:bottom w:w="0" w:type="dxa"/>
            <w:right w:w="115" w:type="dxa"/>
          </w:tblCellMar>
        </w:tblPrEx>
        <w:trPr>
          <w:trHeight w:val="648" w:hRule="atLeast"/>
        </w:trPr>
        <w:tc>
          <w:tcPr>
            <w:gridSpan w:val="4"/>
            <w:tcBorders>
              <w:top w:val="single" w:color="000000" w:sz="8" w:space="0"/>
              <w:left w:val="single" w:color="000000" w:sz="8" w:space="0"/>
              <w:bottom w:val="nil"/>
              <w:right w:val="single" w:color="000000" w:sz="8" w:space="0"/>
            </w:tcBorders>
            <w:shd w:val="clear" w:color="auto" w:fill="FFFFFF"/>
            <w:vAlign w:val="center"/>
          </w:tcPr>
          <w:p w14:paraId="000001CA">
            <w:pPr>
              <w:spacing w:line="240" w:lineRule="auto"/>
              <w:jc w:val="center"/>
              <w:rPr>
                <w:rFonts w:ascii="Calibri" w:hAnsi="Calibri" w:eastAsia="Calibri" w:cs="Calibri"/>
                <w:b/>
                <w:sz w:val="18"/>
                <w:szCs w:val="18"/>
              </w:rPr>
            </w:pPr>
            <w:r>
              <w:rPr>
                <w:rFonts w:ascii="Calibri" w:hAnsi="Calibri" w:eastAsia="Calibri" w:cs="Calibri"/>
                <w:b/>
                <w:sz w:val="18"/>
                <w:szCs w:val="18"/>
                <w:rtl w:val="0"/>
              </w:rPr>
              <w:t>FINANCIËLE VERANTWOORDING 2025</w:t>
            </w:r>
          </w:p>
        </w:tc>
      </w:tr>
      <w:tr w14:paraId="7E14A80F">
        <w:tblPrEx>
          <w:tblCellMar>
            <w:top w:w="0" w:type="dxa"/>
            <w:left w:w="115" w:type="dxa"/>
            <w:bottom w:w="0" w:type="dxa"/>
            <w:right w:w="115" w:type="dxa"/>
          </w:tblCellMar>
        </w:tblPrEx>
        <w:trPr>
          <w:trHeight w:val="576" w:hRule="atLeast"/>
        </w:trPr>
        <w:tc>
          <w:tcPr>
            <w:tcBorders>
              <w:top w:val="single" w:color="000000" w:sz="8" w:space="0"/>
              <w:left w:val="single" w:color="000000" w:sz="8" w:space="0"/>
              <w:bottom w:val="single" w:color="000000" w:sz="4" w:space="0"/>
              <w:right w:val="single" w:color="000000" w:sz="4" w:space="0"/>
            </w:tcBorders>
            <w:shd w:val="clear" w:color="auto" w:fill="auto"/>
            <w:vAlign w:val="center"/>
          </w:tcPr>
          <w:p w14:paraId="000001CE">
            <w:pPr>
              <w:spacing w:line="240" w:lineRule="auto"/>
              <w:rPr>
                <w:rFonts w:ascii="Calibri" w:hAnsi="Calibri" w:eastAsia="Calibri" w:cs="Calibri"/>
                <w:b/>
                <w:sz w:val="18"/>
                <w:szCs w:val="18"/>
              </w:rPr>
            </w:pPr>
            <w:r>
              <w:rPr>
                <w:rFonts w:ascii="Calibri" w:hAnsi="Calibri" w:eastAsia="Calibri" w:cs="Calibri"/>
                <w:b/>
                <w:sz w:val="18"/>
                <w:szCs w:val="18"/>
                <w:rtl w:val="0"/>
              </w:rPr>
              <w:t> </w:t>
            </w:r>
          </w:p>
        </w:tc>
        <w:tc>
          <w:tcPr>
            <w:tcBorders>
              <w:top w:val="single" w:color="000000" w:sz="8" w:space="0"/>
              <w:left w:val="nil"/>
              <w:bottom w:val="single" w:color="000000" w:sz="4" w:space="0"/>
              <w:right w:val="single" w:color="000000" w:sz="4" w:space="0"/>
            </w:tcBorders>
            <w:shd w:val="clear" w:color="auto" w:fill="FFFFFF"/>
            <w:vAlign w:val="bottom"/>
          </w:tcPr>
          <w:p w14:paraId="000001CF">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single" w:color="000000" w:sz="8" w:space="0"/>
              <w:left w:val="nil"/>
              <w:bottom w:val="single" w:color="000000" w:sz="4" w:space="0"/>
              <w:right w:val="nil"/>
            </w:tcBorders>
            <w:shd w:val="clear" w:color="auto" w:fill="FFFFFF"/>
            <w:vAlign w:val="center"/>
          </w:tcPr>
          <w:p w14:paraId="000001D0">
            <w:pPr>
              <w:spacing w:line="240" w:lineRule="auto"/>
              <w:jc w:val="center"/>
              <w:rPr>
                <w:rFonts w:ascii="Calibri" w:hAnsi="Calibri" w:eastAsia="Calibri" w:cs="Calibri"/>
                <w:b/>
                <w:sz w:val="18"/>
                <w:szCs w:val="18"/>
              </w:rPr>
            </w:pPr>
            <w:r>
              <w:rPr>
                <w:rFonts w:ascii="Calibri" w:hAnsi="Calibri" w:eastAsia="Calibri" w:cs="Calibri"/>
                <w:b/>
                <w:sz w:val="18"/>
                <w:szCs w:val="18"/>
                <w:rtl w:val="0"/>
              </w:rPr>
              <w:t>Item</w:t>
            </w:r>
          </w:p>
        </w:tc>
        <w:tc>
          <w:tcPr>
            <w:tcBorders>
              <w:top w:val="single" w:color="000000" w:sz="4" w:space="0"/>
              <w:left w:val="single" w:color="000000" w:sz="4" w:space="0"/>
              <w:bottom w:val="single" w:color="000000" w:sz="4" w:space="0"/>
              <w:right w:val="single" w:color="000000" w:sz="4" w:space="0"/>
            </w:tcBorders>
            <w:shd w:val="clear" w:color="auto" w:fill="auto"/>
            <w:vAlign w:val="center"/>
          </w:tcPr>
          <w:p w14:paraId="000001D1">
            <w:pPr>
              <w:spacing w:line="240" w:lineRule="auto"/>
              <w:rPr>
                <w:rFonts w:ascii="Calibri" w:hAnsi="Calibri" w:eastAsia="Calibri" w:cs="Calibri"/>
                <w:b/>
                <w:sz w:val="18"/>
                <w:szCs w:val="18"/>
              </w:rPr>
            </w:pPr>
            <w:r>
              <w:rPr>
                <w:rFonts w:ascii="Calibri" w:hAnsi="Calibri" w:eastAsia="Calibri" w:cs="Calibri"/>
                <w:b/>
                <w:sz w:val="18"/>
                <w:szCs w:val="18"/>
                <w:rtl w:val="0"/>
              </w:rPr>
              <w:t>Totaal EUR</w:t>
            </w:r>
          </w:p>
        </w:tc>
      </w:tr>
      <w:tr w14:paraId="13A77D45">
        <w:tblPrEx>
          <w:tblCellMar>
            <w:top w:w="0" w:type="dxa"/>
            <w:left w:w="115" w:type="dxa"/>
            <w:bottom w:w="0" w:type="dxa"/>
            <w:right w:w="115" w:type="dxa"/>
          </w:tblCellMar>
        </w:tblPrEx>
        <w:trPr>
          <w:trHeight w:val="288" w:hRule="atLeast"/>
        </w:trPr>
        <w:tc>
          <w:tcPr>
            <w:tcBorders>
              <w:top w:val="nil"/>
              <w:left w:val="single" w:color="000000" w:sz="8" w:space="0"/>
              <w:bottom w:val="single" w:color="000000" w:sz="4" w:space="0"/>
              <w:right w:val="single" w:color="000000" w:sz="4" w:space="0"/>
            </w:tcBorders>
            <w:shd w:val="clear" w:color="auto" w:fill="auto"/>
            <w:vAlign w:val="center"/>
          </w:tcPr>
          <w:p w14:paraId="000001D2">
            <w:pPr>
              <w:spacing w:line="240" w:lineRule="auto"/>
              <w:jc w:val="center"/>
              <w:rPr>
                <w:rFonts w:ascii="Calibri" w:hAnsi="Calibri" w:eastAsia="Calibri" w:cs="Calibri"/>
                <w:b/>
                <w:sz w:val="18"/>
                <w:szCs w:val="18"/>
              </w:rPr>
            </w:pPr>
          </w:p>
        </w:tc>
        <w:tc>
          <w:tcPr>
            <w:tcBorders>
              <w:top w:val="single" w:color="000000" w:sz="8" w:space="0"/>
              <w:left w:val="nil"/>
              <w:bottom w:val="single" w:color="000000" w:sz="4" w:space="0"/>
              <w:right w:val="single" w:color="000000" w:sz="4" w:space="0"/>
            </w:tcBorders>
            <w:shd w:val="clear" w:color="auto" w:fill="FFFFFF"/>
            <w:vAlign w:val="bottom"/>
          </w:tcPr>
          <w:p w14:paraId="000001D3">
            <w:pPr>
              <w:rPr>
                <w:rFonts w:ascii="Calibri" w:hAnsi="Calibri" w:eastAsia="Calibri" w:cs="Calibri"/>
                <w:b/>
                <w:sz w:val="18"/>
                <w:szCs w:val="18"/>
              </w:rPr>
            </w:pPr>
            <w:r>
              <w:rPr>
                <w:rFonts w:ascii="Calibri" w:hAnsi="Calibri" w:eastAsia="Calibri" w:cs="Calibri"/>
                <w:b/>
                <w:sz w:val="18"/>
                <w:szCs w:val="18"/>
                <w:rtl w:val="0"/>
              </w:rPr>
              <w:t>status rekening courant</w:t>
            </w:r>
          </w:p>
        </w:tc>
        <w:tc>
          <w:tcPr>
            <w:tcBorders>
              <w:top w:val="nil"/>
              <w:left w:val="nil"/>
              <w:bottom w:val="single" w:color="000000" w:sz="4" w:space="0"/>
              <w:right w:val="nil"/>
            </w:tcBorders>
            <w:shd w:val="clear" w:color="auto" w:fill="FFFFFF"/>
            <w:vAlign w:val="center"/>
          </w:tcPr>
          <w:p w14:paraId="000001D4">
            <w:pPr>
              <w:spacing w:line="240" w:lineRule="auto"/>
              <w:rPr>
                <w:rFonts w:ascii="Calibri" w:hAnsi="Calibri" w:eastAsia="Calibri" w:cs="Calibri"/>
                <w:sz w:val="18"/>
                <w:szCs w:val="18"/>
              </w:rPr>
            </w:pPr>
            <w:r>
              <w:rPr>
                <w:rFonts w:ascii="Calibri" w:hAnsi="Calibri" w:eastAsia="Calibri" w:cs="Calibri"/>
                <w:sz w:val="18"/>
                <w:szCs w:val="18"/>
                <w:rtl w:val="0"/>
              </w:rPr>
              <w:t>Saldo 01/2024 in euro</w:t>
            </w:r>
          </w:p>
        </w:tc>
        <w:tc>
          <w:tcPr>
            <w:tcBorders>
              <w:top w:val="nil"/>
              <w:left w:val="single" w:color="000000" w:sz="4" w:space="0"/>
              <w:bottom w:val="single" w:color="000000" w:sz="4" w:space="0"/>
              <w:right w:val="single" w:color="000000" w:sz="4" w:space="0"/>
            </w:tcBorders>
            <w:shd w:val="clear" w:color="auto" w:fill="auto"/>
          </w:tcPr>
          <w:p w14:paraId="000001D5">
            <w:pPr>
              <w:spacing w:line="240" w:lineRule="auto"/>
              <w:rPr>
                <w:rFonts w:ascii="Calibri" w:hAnsi="Calibri" w:eastAsia="Calibri" w:cs="Calibri"/>
                <w:sz w:val="18"/>
                <w:szCs w:val="18"/>
              </w:rPr>
            </w:pPr>
            <w:r>
              <w:rPr>
                <w:rFonts w:ascii="Calibri" w:hAnsi="Calibri" w:eastAsia="Calibri" w:cs="Calibri"/>
                <w:sz w:val="18"/>
                <w:szCs w:val="18"/>
                <w:rtl w:val="0"/>
              </w:rPr>
              <w:t xml:space="preserve"> €      15.248</w:t>
            </w:r>
          </w:p>
        </w:tc>
      </w:tr>
      <w:tr w14:paraId="2D3CE1F3">
        <w:tblPrEx>
          <w:tblCellMar>
            <w:top w:w="0" w:type="dxa"/>
            <w:left w:w="115" w:type="dxa"/>
            <w:bottom w:w="0" w:type="dxa"/>
            <w:right w:w="115" w:type="dxa"/>
          </w:tblCellMar>
        </w:tblPrEx>
        <w:trPr>
          <w:trHeight w:val="288" w:hRule="atLeast"/>
        </w:trPr>
        <w:tc>
          <w:tcPr>
            <w:tcBorders>
              <w:top w:val="nil"/>
              <w:left w:val="single" w:color="000000" w:sz="8" w:space="0"/>
              <w:bottom w:val="single" w:color="000000" w:sz="4" w:space="0"/>
              <w:right w:val="single" w:color="000000" w:sz="4" w:space="0"/>
            </w:tcBorders>
            <w:shd w:val="clear" w:color="auto" w:fill="auto"/>
            <w:vAlign w:val="center"/>
          </w:tcPr>
          <w:p w14:paraId="000001D6">
            <w:pPr>
              <w:spacing w:line="240" w:lineRule="auto"/>
              <w:jc w:val="cente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1D7">
            <w:pPr>
              <w:spacing w:line="240" w:lineRule="auto"/>
              <w:jc w:val="cente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nil"/>
            </w:tcBorders>
            <w:shd w:val="clear" w:color="auto" w:fill="FFFFFF"/>
            <w:vAlign w:val="center"/>
          </w:tcPr>
          <w:p w14:paraId="000001D8">
            <w:pPr>
              <w:spacing w:line="240" w:lineRule="auto"/>
              <w:jc w:val="cente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single" w:color="000000" w:sz="4" w:space="0"/>
              <w:bottom w:val="single" w:color="000000" w:sz="4" w:space="0"/>
              <w:right w:val="single" w:color="000000" w:sz="4" w:space="0"/>
            </w:tcBorders>
            <w:shd w:val="clear" w:color="auto" w:fill="auto"/>
            <w:vAlign w:val="center"/>
          </w:tcPr>
          <w:p w14:paraId="000001D9">
            <w:pPr>
              <w:spacing w:line="240" w:lineRule="auto"/>
              <w:rPr>
                <w:rFonts w:ascii="Calibri" w:hAnsi="Calibri" w:eastAsia="Calibri" w:cs="Calibri"/>
                <w:sz w:val="18"/>
                <w:szCs w:val="18"/>
              </w:rPr>
            </w:pPr>
            <w:r>
              <w:rPr>
                <w:rFonts w:ascii="Calibri" w:hAnsi="Calibri" w:eastAsia="Calibri" w:cs="Calibri"/>
                <w:sz w:val="18"/>
                <w:szCs w:val="18"/>
                <w:rtl w:val="0"/>
              </w:rPr>
              <w:t> </w:t>
            </w:r>
          </w:p>
        </w:tc>
      </w:tr>
      <w:tr w14:paraId="270924EF">
        <w:tblPrEx>
          <w:tblCellMar>
            <w:top w:w="0" w:type="dxa"/>
            <w:left w:w="115" w:type="dxa"/>
            <w:bottom w:w="0" w:type="dxa"/>
            <w:right w:w="115" w:type="dxa"/>
          </w:tblCellMar>
        </w:tblPrEx>
        <w:trPr>
          <w:trHeight w:val="288" w:hRule="atLeast"/>
        </w:trPr>
        <w:tc>
          <w:tcPr>
            <w:tcBorders>
              <w:top w:val="nil"/>
              <w:left w:val="single" w:color="000000" w:sz="8" w:space="0"/>
              <w:bottom w:val="nil"/>
              <w:right w:val="nil"/>
            </w:tcBorders>
            <w:shd w:val="clear" w:color="auto" w:fill="auto"/>
            <w:vAlign w:val="bottom"/>
          </w:tcPr>
          <w:p w14:paraId="000001DA">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single" w:color="000000" w:sz="8" w:space="0"/>
              <w:bottom w:val="nil"/>
              <w:right w:val="single" w:color="000000" w:sz="4" w:space="0"/>
            </w:tcBorders>
            <w:shd w:val="clear" w:color="auto" w:fill="FFFFFF"/>
            <w:vAlign w:val="center"/>
          </w:tcPr>
          <w:p w14:paraId="000001DB">
            <w:pPr>
              <w:spacing w:line="240" w:lineRule="auto"/>
              <w:rPr>
                <w:rFonts w:ascii="Calibri" w:hAnsi="Calibri" w:eastAsia="Calibri" w:cs="Calibri"/>
                <w:b/>
                <w:sz w:val="18"/>
                <w:szCs w:val="18"/>
              </w:rPr>
            </w:pPr>
            <w:r>
              <w:rPr>
                <w:rFonts w:ascii="Calibri" w:hAnsi="Calibri" w:eastAsia="Calibri" w:cs="Calibri"/>
                <w:b/>
                <w:sz w:val="18"/>
                <w:szCs w:val="18"/>
                <w:rtl w:val="0"/>
              </w:rPr>
              <w:t>Reserve fonds</w:t>
            </w:r>
          </w:p>
        </w:tc>
        <w:tc>
          <w:tcPr>
            <w:tcBorders>
              <w:top w:val="nil"/>
              <w:left w:val="nil"/>
              <w:bottom w:val="single" w:color="000000" w:sz="4" w:space="0"/>
              <w:right w:val="nil"/>
            </w:tcBorders>
            <w:shd w:val="clear" w:color="auto" w:fill="FFFFFF"/>
            <w:vAlign w:val="center"/>
          </w:tcPr>
          <w:p w14:paraId="000001DC">
            <w:pPr>
              <w:spacing w:line="240" w:lineRule="auto"/>
              <w:rPr>
                <w:rFonts w:ascii="Calibri" w:hAnsi="Calibri" w:eastAsia="Calibri" w:cs="Calibri"/>
                <w:sz w:val="18"/>
                <w:szCs w:val="18"/>
              </w:rPr>
            </w:pPr>
            <w:r>
              <w:rPr>
                <w:rFonts w:ascii="Calibri" w:hAnsi="Calibri" w:eastAsia="Calibri" w:cs="Calibri"/>
                <w:sz w:val="18"/>
                <w:szCs w:val="18"/>
                <w:rtl w:val="0"/>
              </w:rPr>
              <w:t>geen aanspraak</w:t>
            </w:r>
          </w:p>
        </w:tc>
        <w:tc>
          <w:tcPr>
            <w:tcBorders>
              <w:top w:val="nil"/>
              <w:left w:val="single" w:color="000000" w:sz="4" w:space="0"/>
              <w:bottom w:val="single" w:color="000000" w:sz="4" w:space="0"/>
              <w:right w:val="single" w:color="000000" w:sz="4" w:space="0"/>
            </w:tcBorders>
            <w:shd w:val="clear" w:color="auto" w:fill="auto"/>
          </w:tcPr>
          <w:p w14:paraId="000001DD">
            <w:pPr>
              <w:spacing w:line="240" w:lineRule="auto"/>
              <w:rPr>
                <w:rFonts w:ascii="Calibri" w:hAnsi="Calibri" w:eastAsia="Calibri" w:cs="Calibri"/>
                <w:sz w:val="18"/>
                <w:szCs w:val="18"/>
              </w:rPr>
            </w:pPr>
            <w:r>
              <w:rPr>
                <w:rFonts w:ascii="Calibri" w:hAnsi="Calibri" w:eastAsia="Calibri" w:cs="Calibri"/>
                <w:sz w:val="18"/>
                <w:szCs w:val="18"/>
                <w:rtl w:val="0"/>
              </w:rPr>
              <w:t>€          0,00</w:t>
            </w:r>
          </w:p>
        </w:tc>
      </w:tr>
      <w:tr w14:paraId="67275783">
        <w:tblPrEx>
          <w:tblCellMar>
            <w:top w:w="0" w:type="dxa"/>
            <w:left w:w="115" w:type="dxa"/>
            <w:bottom w:w="0" w:type="dxa"/>
            <w:right w:w="115" w:type="dxa"/>
          </w:tblCellMar>
        </w:tblPrEx>
        <w:trPr>
          <w:trHeight w:val="288" w:hRule="atLeast"/>
        </w:trPr>
        <w:tc>
          <w:tcPr>
            <w:tcBorders>
              <w:top w:val="nil"/>
              <w:left w:val="single" w:color="000000" w:sz="8" w:space="0"/>
              <w:bottom w:val="nil"/>
              <w:right w:val="nil"/>
            </w:tcBorders>
            <w:shd w:val="clear" w:color="auto" w:fill="auto"/>
            <w:vAlign w:val="bottom"/>
          </w:tcPr>
          <w:p w14:paraId="000001DE">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vMerge w:val="restart"/>
            <w:tcBorders>
              <w:top w:val="single" w:color="000000" w:sz="4" w:space="0"/>
              <w:left w:val="single" w:color="000000" w:sz="4" w:space="0"/>
              <w:bottom w:val="nil"/>
              <w:right w:val="single" w:color="000000" w:sz="4" w:space="0"/>
            </w:tcBorders>
            <w:shd w:val="clear" w:color="auto" w:fill="FFFFFF"/>
            <w:vAlign w:val="center"/>
          </w:tcPr>
          <w:p w14:paraId="000001DF">
            <w:pPr>
              <w:spacing w:line="240" w:lineRule="auto"/>
              <w:rPr>
                <w:rFonts w:ascii="Calibri" w:hAnsi="Calibri" w:eastAsia="Calibri" w:cs="Calibri"/>
                <w:b/>
                <w:sz w:val="18"/>
                <w:szCs w:val="18"/>
              </w:rPr>
            </w:pPr>
            <w:r>
              <w:rPr>
                <w:rFonts w:ascii="Calibri" w:hAnsi="Calibri" w:eastAsia="Calibri" w:cs="Calibri"/>
                <w:b/>
                <w:sz w:val="18"/>
                <w:szCs w:val="18"/>
                <w:rtl w:val="0"/>
              </w:rPr>
              <w:t>Inkomsten 2023</w:t>
            </w:r>
          </w:p>
        </w:tc>
        <w:tc>
          <w:tcPr>
            <w:tcBorders>
              <w:top w:val="nil"/>
              <w:left w:val="nil"/>
              <w:bottom w:val="single" w:color="000000" w:sz="4" w:space="0"/>
              <w:right w:val="nil"/>
            </w:tcBorders>
            <w:shd w:val="clear" w:color="auto" w:fill="FFFFFF"/>
            <w:vAlign w:val="center"/>
          </w:tcPr>
          <w:p w14:paraId="000001E0">
            <w:pPr>
              <w:spacing w:line="240" w:lineRule="auto"/>
              <w:rPr>
                <w:rFonts w:ascii="Calibri" w:hAnsi="Calibri" w:eastAsia="Calibri" w:cs="Calibri"/>
                <w:sz w:val="18"/>
                <w:szCs w:val="18"/>
              </w:rPr>
            </w:pPr>
            <w:r>
              <w:rPr>
                <w:rFonts w:ascii="Calibri" w:hAnsi="Calibri" w:eastAsia="Calibri" w:cs="Calibri"/>
                <w:sz w:val="18"/>
                <w:szCs w:val="18"/>
                <w:rtl w:val="0"/>
              </w:rPr>
              <w:t>Ouderbijdrage</w:t>
            </w:r>
          </w:p>
        </w:tc>
        <w:tc>
          <w:tcPr>
            <w:tcBorders>
              <w:top w:val="nil"/>
              <w:left w:val="single" w:color="000000" w:sz="4" w:space="0"/>
              <w:bottom w:val="single" w:color="000000" w:sz="4" w:space="0"/>
              <w:right w:val="single" w:color="000000" w:sz="4" w:space="0"/>
            </w:tcBorders>
            <w:shd w:val="clear" w:color="auto" w:fill="auto"/>
            <w:vAlign w:val="center"/>
          </w:tcPr>
          <w:p w14:paraId="000001E1">
            <w:pPr>
              <w:spacing w:line="240" w:lineRule="auto"/>
              <w:rPr>
                <w:rFonts w:ascii="Calibri" w:hAnsi="Calibri" w:eastAsia="Calibri" w:cs="Calibri"/>
                <w:sz w:val="18"/>
                <w:szCs w:val="18"/>
              </w:rPr>
            </w:pPr>
            <w:r>
              <w:rPr>
                <w:rFonts w:ascii="Calibri" w:hAnsi="Calibri" w:eastAsia="Calibri" w:cs="Calibri"/>
                <w:sz w:val="18"/>
                <w:szCs w:val="18"/>
                <w:rtl w:val="0"/>
              </w:rPr>
              <w:t>€      11.966</w:t>
            </w:r>
          </w:p>
        </w:tc>
      </w:tr>
      <w:tr w14:paraId="3C538511">
        <w:tblPrEx>
          <w:tblCellMar>
            <w:top w:w="0" w:type="dxa"/>
            <w:left w:w="115" w:type="dxa"/>
            <w:bottom w:w="0" w:type="dxa"/>
            <w:right w:w="115" w:type="dxa"/>
          </w:tblCellMar>
        </w:tblPrEx>
        <w:trPr>
          <w:trHeight w:val="288" w:hRule="atLeast"/>
        </w:trPr>
        <w:tc>
          <w:tcPr>
            <w:tcBorders>
              <w:top w:val="nil"/>
              <w:left w:val="single" w:color="000000" w:sz="8" w:space="0"/>
              <w:bottom w:val="nil"/>
              <w:right w:val="nil"/>
            </w:tcBorders>
            <w:shd w:val="clear" w:color="auto" w:fill="auto"/>
            <w:vAlign w:val="center"/>
          </w:tcPr>
          <w:p w14:paraId="000001E2">
            <w:pPr>
              <w:spacing w:line="240" w:lineRule="auto"/>
              <w:jc w:val="center"/>
              <w:rPr>
                <w:rFonts w:ascii="Calibri" w:hAnsi="Calibri" w:eastAsia="Calibri" w:cs="Calibri"/>
                <w:b/>
                <w:sz w:val="18"/>
                <w:szCs w:val="18"/>
              </w:rPr>
            </w:pPr>
            <w:r>
              <w:rPr>
                <w:rFonts w:ascii="Calibri" w:hAnsi="Calibri" w:eastAsia="Calibri" w:cs="Calibri"/>
                <w:b/>
                <w:sz w:val="18"/>
                <w:szCs w:val="18"/>
                <w:rtl w:val="0"/>
              </w:rPr>
              <w:t> </w:t>
            </w:r>
          </w:p>
        </w:tc>
        <w:tc>
          <w:tcPr>
            <w:vMerge w:val="continue"/>
            <w:tcBorders>
              <w:top w:val="single" w:color="000000" w:sz="4" w:space="0"/>
              <w:left w:val="single" w:color="000000" w:sz="4" w:space="0"/>
              <w:bottom w:val="nil"/>
              <w:right w:val="single" w:color="000000" w:sz="4" w:space="0"/>
            </w:tcBorders>
            <w:shd w:val="clear" w:color="auto" w:fill="FFFFFF"/>
            <w:vAlign w:val="center"/>
          </w:tcPr>
          <w:p w14:paraId="000001E3">
            <w:pPr>
              <w:widowControl w:val="0"/>
              <w:spacing w:line="276" w:lineRule="auto"/>
              <w:rPr>
                <w:rFonts w:ascii="Calibri" w:hAnsi="Calibri" w:eastAsia="Calibri" w:cs="Calibri"/>
                <w:b/>
                <w:sz w:val="18"/>
                <w:szCs w:val="18"/>
              </w:rPr>
            </w:pPr>
          </w:p>
        </w:tc>
        <w:tc>
          <w:tcPr>
            <w:tcBorders>
              <w:top w:val="nil"/>
              <w:left w:val="nil"/>
              <w:bottom w:val="nil"/>
              <w:right w:val="nil"/>
            </w:tcBorders>
            <w:shd w:val="clear" w:color="auto" w:fill="FFFFFF"/>
            <w:vAlign w:val="center"/>
          </w:tcPr>
          <w:p w14:paraId="000001E4">
            <w:pPr>
              <w:spacing w:line="240" w:lineRule="auto"/>
              <w:rPr>
                <w:rFonts w:ascii="Calibri" w:hAnsi="Calibri" w:eastAsia="Calibri" w:cs="Calibri"/>
                <w:sz w:val="18"/>
                <w:szCs w:val="18"/>
              </w:rPr>
            </w:pPr>
            <w:r>
              <w:rPr>
                <w:rFonts w:ascii="Calibri" w:hAnsi="Calibri" w:eastAsia="Calibri" w:cs="Calibri"/>
                <w:sz w:val="18"/>
                <w:szCs w:val="18"/>
                <w:rtl w:val="0"/>
              </w:rPr>
              <w:t>NOB-subsidie</w:t>
            </w:r>
          </w:p>
        </w:tc>
        <w:tc>
          <w:tcPr>
            <w:tcBorders>
              <w:top w:val="nil"/>
              <w:left w:val="single" w:color="000000" w:sz="4" w:space="0"/>
              <w:bottom w:val="single" w:color="000000" w:sz="4" w:space="0"/>
              <w:right w:val="single" w:color="000000" w:sz="4" w:space="0"/>
            </w:tcBorders>
            <w:shd w:val="clear" w:color="auto" w:fill="auto"/>
            <w:vAlign w:val="center"/>
          </w:tcPr>
          <w:p w14:paraId="000001E5">
            <w:pPr>
              <w:spacing w:line="240" w:lineRule="auto"/>
              <w:rPr>
                <w:rFonts w:ascii="Calibri" w:hAnsi="Calibri" w:eastAsia="Calibri" w:cs="Calibri"/>
                <w:sz w:val="18"/>
                <w:szCs w:val="18"/>
              </w:rPr>
            </w:pPr>
            <w:r>
              <w:rPr>
                <w:rFonts w:ascii="Calibri" w:hAnsi="Calibri" w:eastAsia="Calibri" w:cs="Calibri"/>
                <w:sz w:val="18"/>
                <w:szCs w:val="18"/>
                <w:rtl w:val="0"/>
              </w:rPr>
              <w:t>€       13.330</w:t>
            </w:r>
          </w:p>
        </w:tc>
      </w:tr>
      <w:tr w14:paraId="00FFF079">
        <w:tblPrEx>
          <w:tblCellMar>
            <w:top w:w="0" w:type="dxa"/>
            <w:left w:w="115" w:type="dxa"/>
            <w:bottom w:w="0" w:type="dxa"/>
            <w:right w:w="115" w:type="dxa"/>
          </w:tblCellMar>
        </w:tblPrEx>
        <w:trPr>
          <w:trHeight w:val="288" w:hRule="atLeast"/>
        </w:trPr>
        <w:tc>
          <w:tcPr>
            <w:gridSpan w:val="3"/>
            <w:tcBorders>
              <w:top w:val="single" w:color="000000" w:sz="4" w:space="0"/>
              <w:left w:val="single" w:color="000000" w:sz="8" w:space="0"/>
              <w:bottom w:val="single" w:color="000000" w:sz="4" w:space="0"/>
              <w:right w:val="single" w:color="000000" w:sz="4" w:space="0"/>
            </w:tcBorders>
            <w:shd w:val="clear" w:color="auto" w:fill="FFFF00"/>
            <w:vAlign w:val="center"/>
          </w:tcPr>
          <w:p w14:paraId="000001E6">
            <w:pPr>
              <w:spacing w:line="240" w:lineRule="auto"/>
              <w:rPr>
                <w:rFonts w:ascii="Calibri" w:hAnsi="Calibri" w:eastAsia="Calibri" w:cs="Calibri"/>
                <w:b/>
                <w:sz w:val="18"/>
                <w:szCs w:val="18"/>
              </w:rPr>
            </w:pPr>
            <w:r>
              <w:rPr>
                <w:rFonts w:ascii="Calibri" w:hAnsi="Calibri" w:eastAsia="Calibri" w:cs="Calibri"/>
                <w:b/>
                <w:sz w:val="18"/>
                <w:szCs w:val="18"/>
                <w:rtl w:val="0"/>
              </w:rPr>
              <w:t>Totaal inkomsten + reservefonds</w:t>
            </w:r>
          </w:p>
        </w:tc>
        <w:tc>
          <w:tcPr>
            <w:tcBorders>
              <w:top w:val="nil"/>
              <w:left w:val="nil"/>
              <w:bottom w:val="single" w:color="000000" w:sz="4" w:space="0"/>
              <w:right w:val="single" w:color="000000" w:sz="4" w:space="0"/>
            </w:tcBorders>
            <w:shd w:val="clear" w:color="auto" w:fill="FFFF00"/>
            <w:vAlign w:val="center"/>
          </w:tcPr>
          <w:p w14:paraId="000001E9">
            <w:pPr>
              <w:spacing w:line="240" w:lineRule="auto"/>
              <w:rPr>
                <w:rFonts w:ascii="Calibri" w:hAnsi="Calibri" w:eastAsia="Calibri" w:cs="Calibri"/>
                <w:b/>
                <w:sz w:val="18"/>
                <w:szCs w:val="18"/>
              </w:rPr>
            </w:pPr>
            <w:r>
              <w:rPr>
                <w:rFonts w:ascii="Calibri" w:hAnsi="Calibri" w:eastAsia="Calibri" w:cs="Calibri"/>
                <w:b/>
                <w:sz w:val="18"/>
                <w:szCs w:val="18"/>
                <w:rtl w:val="0"/>
              </w:rPr>
              <w:t xml:space="preserve"> €      25.296,-</w:t>
            </w:r>
          </w:p>
        </w:tc>
      </w:tr>
      <w:tr w14:paraId="55276D64">
        <w:tblPrEx>
          <w:tblCellMar>
            <w:top w:w="0" w:type="dxa"/>
            <w:left w:w="115" w:type="dxa"/>
            <w:bottom w:w="0" w:type="dxa"/>
            <w:right w:w="115" w:type="dxa"/>
          </w:tblCellMar>
        </w:tblPrEx>
        <w:trPr>
          <w:trHeight w:val="175" w:hRule="atLeast"/>
        </w:trPr>
        <w:tc>
          <w:tcPr>
            <w:tcBorders>
              <w:top w:val="nil"/>
              <w:left w:val="single" w:color="000000" w:sz="8" w:space="0"/>
              <w:bottom w:val="single" w:color="000000" w:sz="8" w:space="0"/>
              <w:right w:val="nil"/>
            </w:tcBorders>
            <w:shd w:val="clear" w:color="auto" w:fill="FFFFFF"/>
            <w:vAlign w:val="center"/>
          </w:tcPr>
          <w:p w14:paraId="000001EA">
            <w:pPr>
              <w:spacing w:line="240" w:lineRule="auto"/>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8" w:space="0"/>
              <w:right w:val="nil"/>
            </w:tcBorders>
            <w:shd w:val="clear" w:color="auto" w:fill="FFFFFF"/>
            <w:vAlign w:val="center"/>
          </w:tcPr>
          <w:p w14:paraId="000001EB">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nil"/>
              <w:bottom w:val="single" w:color="000000" w:sz="8" w:space="0"/>
              <w:right w:val="nil"/>
            </w:tcBorders>
            <w:shd w:val="clear" w:color="auto" w:fill="FFFFFF"/>
            <w:vAlign w:val="center"/>
          </w:tcPr>
          <w:p w14:paraId="000001EC">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single" w:color="000000" w:sz="4" w:space="0"/>
              <w:bottom w:val="single" w:color="000000" w:sz="4" w:space="0"/>
              <w:right w:val="single" w:color="000000" w:sz="4" w:space="0"/>
            </w:tcBorders>
            <w:shd w:val="clear" w:color="auto" w:fill="auto"/>
            <w:vAlign w:val="center"/>
          </w:tcPr>
          <w:p w14:paraId="000001ED">
            <w:pPr>
              <w:spacing w:line="240" w:lineRule="auto"/>
              <w:rPr>
                <w:rFonts w:ascii="Calibri" w:hAnsi="Calibri" w:eastAsia="Calibri" w:cs="Calibri"/>
                <w:sz w:val="18"/>
                <w:szCs w:val="18"/>
              </w:rPr>
            </w:pPr>
            <w:r>
              <w:rPr>
                <w:rFonts w:ascii="Calibri" w:hAnsi="Calibri" w:eastAsia="Calibri" w:cs="Calibri"/>
                <w:sz w:val="18"/>
                <w:szCs w:val="18"/>
                <w:rtl w:val="0"/>
              </w:rPr>
              <w:t> </w:t>
            </w:r>
          </w:p>
        </w:tc>
      </w:tr>
      <w:tr w14:paraId="5743A81E">
        <w:tblPrEx>
          <w:tblCellMar>
            <w:top w:w="0" w:type="dxa"/>
            <w:left w:w="115" w:type="dxa"/>
            <w:bottom w:w="0" w:type="dxa"/>
            <w:right w:w="115" w:type="dxa"/>
          </w:tblCellMar>
        </w:tblPrEx>
        <w:trPr>
          <w:trHeight w:val="288" w:hRule="atLeast"/>
        </w:trPr>
        <w:tc>
          <w:tcPr>
            <w:vMerge w:val="restart"/>
            <w:tcBorders>
              <w:top w:val="nil"/>
              <w:left w:val="single" w:color="000000" w:sz="8" w:space="0"/>
              <w:bottom w:val="single" w:color="000000" w:sz="8" w:space="0"/>
              <w:right w:val="single" w:color="000000" w:sz="4" w:space="0"/>
            </w:tcBorders>
            <w:shd w:val="clear" w:color="auto" w:fill="FFFFFF"/>
            <w:vAlign w:val="center"/>
          </w:tcPr>
          <w:p w14:paraId="000001EE">
            <w:pPr>
              <w:spacing w:line="240" w:lineRule="auto"/>
              <w:rPr>
                <w:rFonts w:ascii="Calibri" w:hAnsi="Calibri" w:eastAsia="Calibri" w:cs="Calibri"/>
                <w:b/>
                <w:sz w:val="18"/>
                <w:szCs w:val="18"/>
              </w:rPr>
            </w:pPr>
            <w:r>
              <w:rPr>
                <w:rFonts w:ascii="Calibri" w:hAnsi="Calibri" w:eastAsia="Calibri" w:cs="Calibri"/>
                <w:b/>
                <w:sz w:val="18"/>
                <w:szCs w:val="18"/>
                <w:rtl w:val="0"/>
              </w:rPr>
              <w:t xml:space="preserve">   </w:t>
            </w:r>
          </w:p>
        </w:tc>
        <w:tc>
          <w:tcPr>
            <w:tcBorders>
              <w:top w:val="nil"/>
              <w:left w:val="nil"/>
              <w:bottom w:val="single" w:color="000000" w:sz="4" w:space="0"/>
              <w:right w:val="single" w:color="000000" w:sz="4" w:space="0"/>
            </w:tcBorders>
            <w:shd w:val="clear" w:color="auto" w:fill="FFFFFF"/>
            <w:vAlign w:val="center"/>
          </w:tcPr>
          <w:p w14:paraId="000001EF">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nil"/>
              <w:bottom w:val="single" w:color="000000" w:sz="4" w:space="0"/>
              <w:right w:val="nil"/>
            </w:tcBorders>
            <w:shd w:val="clear" w:color="auto" w:fill="FFFFFF"/>
            <w:vAlign w:val="center"/>
          </w:tcPr>
          <w:p w14:paraId="000001F0">
            <w:pPr>
              <w:spacing w:line="240" w:lineRule="auto"/>
              <w:jc w:val="center"/>
              <w:rPr>
                <w:rFonts w:ascii="Calibri" w:hAnsi="Calibri" w:eastAsia="Calibri" w:cs="Calibri"/>
                <w:b/>
                <w:sz w:val="18"/>
                <w:szCs w:val="18"/>
              </w:rPr>
            </w:pPr>
            <w:r>
              <w:rPr>
                <w:rFonts w:ascii="Calibri" w:hAnsi="Calibri" w:eastAsia="Calibri" w:cs="Calibri"/>
                <w:b/>
                <w:sz w:val="18"/>
                <w:szCs w:val="18"/>
                <w:rtl w:val="0"/>
              </w:rPr>
              <w:t>Item</w:t>
            </w:r>
          </w:p>
        </w:tc>
        <w:tc>
          <w:tcPr>
            <w:tcBorders>
              <w:top w:val="nil"/>
              <w:left w:val="single" w:color="000000" w:sz="4" w:space="0"/>
              <w:bottom w:val="single" w:color="000000" w:sz="4" w:space="0"/>
              <w:right w:val="single" w:color="000000" w:sz="4" w:space="0"/>
            </w:tcBorders>
            <w:shd w:val="clear" w:color="auto" w:fill="auto"/>
            <w:vAlign w:val="center"/>
          </w:tcPr>
          <w:p w14:paraId="000001F1">
            <w:pPr>
              <w:spacing w:line="240" w:lineRule="auto"/>
              <w:rPr>
                <w:rFonts w:ascii="Calibri" w:hAnsi="Calibri" w:eastAsia="Calibri" w:cs="Calibri"/>
                <w:sz w:val="18"/>
                <w:szCs w:val="18"/>
              </w:rPr>
            </w:pPr>
            <w:r>
              <w:rPr>
                <w:rFonts w:ascii="Calibri" w:hAnsi="Calibri" w:eastAsia="Calibri" w:cs="Calibri"/>
                <w:sz w:val="18"/>
                <w:szCs w:val="18"/>
                <w:rtl w:val="0"/>
              </w:rPr>
              <w:t> </w:t>
            </w:r>
          </w:p>
        </w:tc>
      </w:tr>
      <w:tr w14:paraId="7A22FF7A">
        <w:tblPrEx>
          <w:tblCellMar>
            <w:top w:w="0" w:type="dxa"/>
            <w:left w:w="115" w:type="dxa"/>
            <w:bottom w:w="0" w:type="dxa"/>
            <w:right w:w="115"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1F2">
            <w:pPr>
              <w:widowControl w:val="0"/>
              <w:spacing w:line="276" w:lineRule="auto"/>
              <w:rPr>
                <w:rFonts w:ascii="Calibri" w:hAnsi="Calibri" w:eastAsia="Calibri" w:cs="Calibri"/>
                <w:sz w:val="18"/>
                <w:szCs w:val="18"/>
              </w:rPr>
            </w:pPr>
          </w:p>
        </w:tc>
        <w:tc>
          <w:tcPr>
            <w:tcBorders>
              <w:top w:val="nil"/>
              <w:left w:val="nil"/>
              <w:bottom w:val="nil"/>
              <w:right w:val="single" w:color="000000" w:sz="4" w:space="0"/>
            </w:tcBorders>
            <w:shd w:val="clear" w:color="auto" w:fill="FFFFFF"/>
            <w:vAlign w:val="center"/>
          </w:tcPr>
          <w:p w14:paraId="000001F3">
            <w:pPr>
              <w:spacing w:line="240" w:lineRule="auto"/>
              <w:rPr>
                <w:rFonts w:ascii="Calibri" w:hAnsi="Calibri" w:eastAsia="Calibri" w:cs="Calibri"/>
                <w:b/>
                <w:sz w:val="18"/>
                <w:szCs w:val="18"/>
              </w:rPr>
            </w:pPr>
            <w:r>
              <w:rPr>
                <w:rFonts w:ascii="Calibri" w:hAnsi="Calibri" w:eastAsia="Calibri" w:cs="Calibri"/>
                <w:b/>
                <w:sz w:val="18"/>
                <w:szCs w:val="18"/>
                <w:rtl w:val="0"/>
              </w:rPr>
              <w:t>Onderwijs coördinator</w:t>
            </w:r>
          </w:p>
        </w:tc>
        <w:tc>
          <w:tcPr>
            <w:tcBorders>
              <w:top w:val="nil"/>
              <w:left w:val="nil"/>
              <w:bottom w:val="single" w:color="000000" w:sz="4" w:space="0"/>
              <w:right w:val="nil"/>
            </w:tcBorders>
            <w:shd w:val="clear" w:color="auto" w:fill="FFFFFF"/>
            <w:vAlign w:val="center"/>
          </w:tcPr>
          <w:p w14:paraId="000001F4">
            <w:pPr>
              <w:spacing w:line="240" w:lineRule="auto"/>
              <w:rPr>
                <w:rFonts w:ascii="Calibri" w:hAnsi="Calibri" w:eastAsia="Calibri" w:cs="Calibri"/>
                <w:sz w:val="18"/>
                <w:szCs w:val="18"/>
              </w:rPr>
            </w:pPr>
            <w:r>
              <w:rPr>
                <w:rFonts w:ascii="Calibri" w:hAnsi="Calibri" w:eastAsia="Calibri" w:cs="Calibri"/>
                <w:sz w:val="18"/>
                <w:szCs w:val="18"/>
                <w:rtl w:val="0"/>
              </w:rPr>
              <w:t>vergoeding leerkrachten</w:t>
            </w:r>
          </w:p>
        </w:tc>
        <w:tc>
          <w:tcPr>
            <w:tcBorders>
              <w:top w:val="nil"/>
              <w:left w:val="single" w:color="000000" w:sz="4" w:space="0"/>
              <w:bottom w:val="single" w:color="000000" w:sz="4" w:space="0"/>
              <w:right w:val="single" w:color="000000" w:sz="4" w:space="0"/>
            </w:tcBorders>
            <w:shd w:val="clear" w:color="auto" w:fill="auto"/>
            <w:vAlign w:val="center"/>
          </w:tcPr>
          <w:p w14:paraId="000001F5">
            <w:pPr>
              <w:spacing w:line="240" w:lineRule="auto"/>
              <w:rPr>
                <w:rFonts w:ascii="Calibri" w:hAnsi="Calibri" w:eastAsia="Calibri" w:cs="Calibri"/>
                <w:sz w:val="18"/>
                <w:szCs w:val="18"/>
              </w:rPr>
            </w:pPr>
            <w:r>
              <w:rPr>
                <w:rFonts w:ascii="Calibri" w:hAnsi="Calibri" w:eastAsia="Calibri" w:cs="Calibri"/>
                <w:sz w:val="18"/>
                <w:szCs w:val="18"/>
                <w:rtl w:val="0"/>
              </w:rPr>
              <w:t xml:space="preserve"> €     10.043</w:t>
            </w:r>
          </w:p>
        </w:tc>
      </w:tr>
      <w:tr w14:paraId="54B7FE52">
        <w:tblPrEx>
          <w:tblCellMar>
            <w:top w:w="0" w:type="dxa"/>
            <w:left w:w="115" w:type="dxa"/>
            <w:bottom w:w="0" w:type="dxa"/>
            <w:right w:w="115" w:type="dxa"/>
          </w:tblCellMar>
        </w:tblPrEx>
        <w:trPr>
          <w:trHeight w:val="576"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1F6">
            <w:pPr>
              <w:widowControl w:val="0"/>
              <w:spacing w:line="276" w:lineRule="auto"/>
              <w:rPr>
                <w:rFonts w:ascii="Calibri" w:hAnsi="Calibri" w:eastAsia="Calibri" w:cs="Calibri"/>
                <w:sz w:val="18"/>
                <w:szCs w:val="18"/>
              </w:rPr>
            </w:pPr>
          </w:p>
        </w:tc>
        <w:tc>
          <w:tcPr>
            <w:tcBorders>
              <w:top w:val="single" w:color="000000" w:sz="4" w:space="0"/>
              <w:left w:val="nil"/>
              <w:bottom w:val="nil"/>
              <w:right w:val="single" w:color="000000" w:sz="4" w:space="0"/>
            </w:tcBorders>
            <w:shd w:val="clear" w:color="auto" w:fill="FFFFFF"/>
            <w:vAlign w:val="center"/>
          </w:tcPr>
          <w:p w14:paraId="000001F7">
            <w:pPr>
              <w:spacing w:line="240" w:lineRule="auto"/>
              <w:jc w:val="center"/>
              <w:rPr>
                <w:rFonts w:ascii="Calibri" w:hAnsi="Calibri" w:eastAsia="Calibri" w:cs="Calibri"/>
                <w:b/>
                <w:sz w:val="18"/>
                <w:szCs w:val="18"/>
              </w:rPr>
            </w:pPr>
            <w:r>
              <w:rPr>
                <w:rFonts w:ascii="Calibri" w:hAnsi="Calibri" w:eastAsia="Calibri" w:cs="Calibri"/>
                <w:b/>
                <w:sz w:val="18"/>
                <w:szCs w:val="18"/>
                <w:rtl w:val="0"/>
              </w:rPr>
              <w:t>Leerkrachten </w:t>
            </w:r>
          </w:p>
        </w:tc>
        <w:tc>
          <w:tcPr>
            <w:tcBorders>
              <w:top w:val="nil"/>
              <w:left w:val="nil"/>
              <w:bottom w:val="single" w:color="000000" w:sz="4" w:space="0"/>
              <w:right w:val="nil"/>
            </w:tcBorders>
            <w:shd w:val="clear" w:color="auto" w:fill="FFFFFF"/>
            <w:vAlign w:val="center"/>
          </w:tcPr>
          <w:p w14:paraId="000001F8">
            <w:pPr>
              <w:spacing w:line="240" w:lineRule="auto"/>
              <w:rPr>
                <w:rFonts w:ascii="Calibri" w:hAnsi="Calibri" w:eastAsia="Calibri" w:cs="Calibri"/>
                <w:sz w:val="18"/>
                <w:szCs w:val="18"/>
              </w:rPr>
            </w:pPr>
            <w:r>
              <w:rPr>
                <w:rFonts w:ascii="Calibri" w:hAnsi="Calibri" w:eastAsia="Calibri" w:cs="Calibri"/>
                <w:sz w:val="18"/>
                <w:szCs w:val="18"/>
                <w:rtl w:val="0"/>
              </w:rPr>
              <w:t>vergoeding leerkrachten</w:t>
            </w:r>
          </w:p>
        </w:tc>
        <w:tc>
          <w:tcPr>
            <w:tcBorders>
              <w:top w:val="nil"/>
              <w:left w:val="single" w:color="000000" w:sz="4" w:space="0"/>
              <w:bottom w:val="single" w:color="000000" w:sz="4" w:space="0"/>
              <w:right w:val="single" w:color="000000" w:sz="4" w:space="0"/>
            </w:tcBorders>
            <w:shd w:val="clear" w:color="auto" w:fill="auto"/>
            <w:vAlign w:val="center"/>
          </w:tcPr>
          <w:p w14:paraId="000001F9">
            <w:pPr>
              <w:spacing w:line="240" w:lineRule="auto"/>
              <w:rPr>
                <w:rFonts w:ascii="Calibri" w:hAnsi="Calibri" w:eastAsia="Calibri" w:cs="Calibri"/>
                <w:sz w:val="18"/>
                <w:szCs w:val="18"/>
              </w:rPr>
            </w:pPr>
            <w:r>
              <w:rPr>
                <w:rFonts w:ascii="Calibri" w:hAnsi="Calibri" w:eastAsia="Calibri" w:cs="Calibri"/>
                <w:sz w:val="18"/>
                <w:szCs w:val="18"/>
                <w:rtl w:val="0"/>
              </w:rPr>
              <w:t xml:space="preserve"> €      7.980</w:t>
            </w:r>
          </w:p>
        </w:tc>
      </w:tr>
      <w:tr w14:paraId="59B39837">
        <w:tblPrEx>
          <w:tblCellMar>
            <w:top w:w="0" w:type="dxa"/>
            <w:left w:w="115" w:type="dxa"/>
            <w:bottom w:w="0" w:type="dxa"/>
            <w:right w:w="115" w:type="dxa"/>
          </w:tblCellMar>
        </w:tblPrEx>
        <w:trPr>
          <w:trHeight w:val="55"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1FA">
            <w:pPr>
              <w:widowControl w:val="0"/>
              <w:spacing w:line="276" w:lineRule="auto"/>
              <w:rPr>
                <w:rFonts w:ascii="Calibri" w:hAnsi="Calibri" w:eastAsia="Calibri" w:cs="Calibri"/>
                <w:sz w:val="18"/>
                <w:szCs w:val="18"/>
              </w:rPr>
            </w:pPr>
          </w:p>
        </w:tc>
        <w:tc>
          <w:tcPr>
            <w:tcBorders>
              <w:top w:val="single" w:color="000000" w:sz="4" w:space="0"/>
              <w:left w:val="nil"/>
              <w:bottom w:val="single" w:color="000000" w:sz="4" w:space="0"/>
              <w:right w:val="single" w:color="000000" w:sz="4" w:space="0"/>
            </w:tcBorders>
            <w:shd w:val="clear" w:color="auto" w:fill="auto"/>
            <w:vAlign w:val="center"/>
          </w:tcPr>
          <w:p w14:paraId="000001FB">
            <w:pPr>
              <w:spacing w:line="240" w:lineRule="auto"/>
              <w:jc w:val="center"/>
              <w:rPr>
                <w:rFonts w:ascii="Calibri" w:hAnsi="Calibri" w:eastAsia="Calibri" w:cs="Calibri"/>
                <w:b/>
                <w:sz w:val="18"/>
                <w:szCs w:val="18"/>
              </w:rPr>
            </w:pPr>
          </w:p>
        </w:tc>
        <w:tc>
          <w:tcPr>
            <w:tcBorders>
              <w:top w:val="nil"/>
              <w:left w:val="nil"/>
              <w:bottom w:val="single" w:color="000000" w:sz="4" w:space="0"/>
              <w:right w:val="nil"/>
            </w:tcBorders>
            <w:shd w:val="clear" w:color="auto" w:fill="auto"/>
            <w:vAlign w:val="center"/>
          </w:tcPr>
          <w:p w14:paraId="000001FC">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single" w:color="000000" w:sz="4" w:space="0"/>
              <w:bottom w:val="single" w:color="000000" w:sz="4" w:space="0"/>
              <w:right w:val="single" w:color="000000" w:sz="4" w:space="0"/>
            </w:tcBorders>
            <w:shd w:val="clear" w:color="auto" w:fill="auto"/>
            <w:vAlign w:val="center"/>
          </w:tcPr>
          <w:p w14:paraId="000001FD">
            <w:pPr>
              <w:spacing w:line="240" w:lineRule="auto"/>
              <w:rPr>
                <w:rFonts w:ascii="Calibri" w:hAnsi="Calibri" w:eastAsia="Calibri" w:cs="Calibri"/>
                <w:sz w:val="18"/>
                <w:szCs w:val="18"/>
              </w:rPr>
            </w:pPr>
          </w:p>
        </w:tc>
      </w:tr>
      <w:tr w14:paraId="12D86C2C">
        <w:tblPrEx>
          <w:tblCellMar>
            <w:top w:w="0" w:type="dxa"/>
            <w:left w:w="115" w:type="dxa"/>
            <w:bottom w:w="0" w:type="dxa"/>
            <w:right w:w="115" w:type="dxa"/>
          </w:tblCellMar>
        </w:tblPrEx>
        <w:trPr>
          <w:trHeight w:val="576"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1FE">
            <w:pPr>
              <w:widowControl w:val="0"/>
              <w:spacing w:line="276" w:lineRule="auto"/>
              <w:rPr>
                <w:rFonts w:ascii="Calibri" w:hAnsi="Calibri" w:eastAsia="Calibri" w:cs="Calibri"/>
                <w:sz w:val="18"/>
                <w:szCs w:val="18"/>
              </w:rPr>
            </w:pPr>
          </w:p>
        </w:tc>
        <w:tc>
          <w:tcPr>
            <w:tcBorders>
              <w:top w:val="nil"/>
              <w:left w:val="nil"/>
              <w:bottom w:val="nil"/>
              <w:right w:val="single" w:color="000000" w:sz="4" w:space="0"/>
            </w:tcBorders>
            <w:shd w:val="clear" w:color="auto" w:fill="FFFFFF"/>
            <w:vAlign w:val="center"/>
          </w:tcPr>
          <w:p w14:paraId="000001FF">
            <w:pPr>
              <w:spacing w:line="240" w:lineRule="auto"/>
              <w:jc w:val="center"/>
              <w:rPr>
                <w:rFonts w:ascii="Calibri" w:hAnsi="Calibri" w:eastAsia="Calibri" w:cs="Calibri"/>
                <w:b/>
                <w:sz w:val="18"/>
                <w:szCs w:val="18"/>
              </w:rPr>
            </w:pPr>
            <w:r>
              <w:rPr>
                <w:rFonts w:ascii="Calibri" w:hAnsi="Calibri" w:eastAsia="Calibri" w:cs="Calibri"/>
                <w:b/>
                <w:sz w:val="18"/>
                <w:szCs w:val="18"/>
                <w:rtl w:val="0"/>
              </w:rPr>
              <w:t> Diversen</w:t>
            </w:r>
          </w:p>
        </w:tc>
        <w:tc>
          <w:tcPr>
            <w:tcBorders>
              <w:top w:val="nil"/>
              <w:left w:val="nil"/>
              <w:bottom w:val="single" w:color="000000" w:sz="4" w:space="0"/>
              <w:right w:val="single" w:color="000000" w:sz="4" w:space="0"/>
            </w:tcBorders>
            <w:shd w:val="clear" w:color="auto" w:fill="FFFFFF"/>
            <w:vAlign w:val="center"/>
          </w:tcPr>
          <w:p w14:paraId="00000200">
            <w:pPr>
              <w:spacing w:line="240" w:lineRule="auto"/>
              <w:rPr>
                <w:rFonts w:ascii="Calibri" w:hAnsi="Calibri" w:eastAsia="Calibri" w:cs="Calibri"/>
                <w:sz w:val="18"/>
                <w:szCs w:val="18"/>
              </w:rPr>
            </w:pPr>
            <w:r>
              <w:rPr>
                <w:rFonts w:ascii="Calibri" w:hAnsi="Calibri" w:eastAsia="Calibri" w:cs="Calibri"/>
                <w:sz w:val="18"/>
                <w:szCs w:val="18"/>
                <w:rtl w:val="0"/>
              </w:rPr>
              <w:t>Lesboeken - online licenties</w:t>
            </w:r>
          </w:p>
        </w:tc>
        <w:tc>
          <w:tcPr>
            <w:tcBorders>
              <w:top w:val="nil"/>
              <w:left w:val="nil"/>
              <w:bottom w:val="single" w:color="000000" w:sz="4" w:space="0"/>
              <w:right w:val="single" w:color="000000" w:sz="4" w:space="0"/>
            </w:tcBorders>
            <w:shd w:val="clear" w:color="auto" w:fill="auto"/>
            <w:vAlign w:val="center"/>
          </w:tcPr>
          <w:p w14:paraId="00000201">
            <w:pPr>
              <w:spacing w:line="240" w:lineRule="auto"/>
              <w:rPr>
                <w:rFonts w:ascii="Calibri" w:hAnsi="Calibri" w:eastAsia="Calibri" w:cs="Calibri"/>
                <w:sz w:val="18"/>
                <w:szCs w:val="18"/>
              </w:rPr>
            </w:pPr>
            <w:r>
              <w:rPr>
                <w:rFonts w:ascii="Calibri" w:hAnsi="Calibri" w:eastAsia="Calibri" w:cs="Calibri"/>
                <w:sz w:val="18"/>
                <w:szCs w:val="18"/>
                <w:rtl w:val="0"/>
              </w:rPr>
              <w:t xml:space="preserve"> €   1047</w:t>
            </w:r>
          </w:p>
        </w:tc>
      </w:tr>
      <w:tr w14:paraId="735F8310">
        <w:tblPrEx>
          <w:tblCellMar>
            <w:top w:w="0" w:type="dxa"/>
            <w:left w:w="115" w:type="dxa"/>
            <w:bottom w:w="0" w:type="dxa"/>
            <w:right w:w="115"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02">
            <w:pPr>
              <w:widowControl w:val="0"/>
              <w:spacing w:line="276" w:lineRule="auto"/>
              <w:rPr>
                <w:rFonts w:ascii="Calibri" w:hAnsi="Calibri" w:eastAsia="Calibri" w:cs="Calibri"/>
                <w:sz w:val="18"/>
                <w:szCs w:val="18"/>
              </w:rPr>
            </w:pPr>
          </w:p>
        </w:tc>
        <w:tc>
          <w:tcPr>
            <w:tcBorders>
              <w:top w:val="nil"/>
              <w:left w:val="nil"/>
              <w:bottom w:val="nil"/>
              <w:right w:val="single" w:color="000000" w:sz="4" w:space="0"/>
            </w:tcBorders>
            <w:shd w:val="clear" w:color="auto" w:fill="FFFFFF"/>
            <w:vAlign w:val="center"/>
          </w:tcPr>
          <w:p w14:paraId="00000203">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204">
            <w:pPr>
              <w:spacing w:line="240" w:lineRule="auto"/>
              <w:rPr>
                <w:rFonts w:ascii="Calibri" w:hAnsi="Calibri" w:eastAsia="Calibri" w:cs="Calibri"/>
                <w:sz w:val="18"/>
                <w:szCs w:val="18"/>
              </w:rPr>
            </w:pPr>
            <w:r>
              <w:rPr>
                <w:rFonts w:ascii="Calibri" w:hAnsi="Calibri" w:eastAsia="Calibri" w:cs="Calibri"/>
                <w:sz w:val="18"/>
                <w:szCs w:val="18"/>
                <w:rtl w:val="0"/>
              </w:rPr>
              <w:t>Locatie kosten</w:t>
            </w:r>
          </w:p>
        </w:tc>
        <w:tc>
          <w:tcPr>
            <w:tcBorders>
              <w:top w:val="nil"/>
              <w:left w:val="nil"/>
              <w:bottom w:val="single" w:color="000000" w:sz="4" w:space="0"/>
              <w:right w:val="single" w:color="000000" w:sz="4" w:space="0"/>
            </w:tcBorders>
            <w:shd w:val="clear" w:color="auto" w:fill="auto"/>
            <w:vAlign w:val="center"/>
          </w:tcPr>
          <w:p w14:paraId="00000205">
            <w:pPr>
              <w:spacing w:line="240" w:lineRule="auto"/>
              <w:rPr>
                <w:rFonts w:ascii="Calibri" w:hAnsi="Calibri" w:eastAsia="Calibri" w:cs="Calibri"/>
                <w:sz w:val="18"/>
                <w:szCs w:val="18"/>
              </w:rPr>
            </w:pPr>
            <w:r>
              <w:rPr>
                <w:rFonts w:ascii="Calibri" w:hAnsi="Calibri" w:eastAsia="Calibri" w:cs="Calibri"/>
                <w:sz w:val="18"/>
                <w:szCs w:val="18"/>
                <w:rtl w:val="0"/>
              </w:rPr>
              <w:t xml:space="preserve"> €   1001</w:t>
            </w:r>
          </w:p>
        </w:tc>
      </w:tr>
      <w:tr w14:paraId="2498A7ED">
        <w:tblPrEx>
          <w:tblCellMar>
            <w:top w:w="0" w:type="dxa"/>
            <w:left w:w="115" w:type="dxa"/>
            <w:bottom w:w="0" w:type="dxa"/>
            <w:right w:w="115"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06">
            <w:pPr>
              <w:widowControl w:val="0"/>
              <w:spacing w:line="276" w:lineRule="auto"/>
              <w:rPr>
                <w:rFonts w:ascii="Calibri" w:hAnsi="Calibri" w:eastAsia="Calibri" w:cs="Calibri"/>
                <w:sz w:val="18"/>
                <w:szCs w:val="18"/>
              </w:rPr>
            </w:pPr>
          </w:p>
        </w:tc>
        <w:tc>
          <w:tcPr>
            <w:tcBorders>
              <w:top w:val="nil"/>
              <w:left w:val="nil"/>
              <w:bottom w:val="nil"/>
              <w:right w:val="single" w:color="000000" w:sz="4" w:space="0"/>
            </w:tcBorders>
            <w:shd w:val="clear" w:color="auto" w:fill="FFFFFF"/>
            <w:vAlign w:val="center"/>
          </w:tcPr>
          <w:p w14:paraId="00000207">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208">
            <w:pPr>
              <w:spacing w:line="240" w:lineRule="auto"/>
              <w:rPr>
                <w:rFonts w:ascii="Calibri" w:hAnsi="Calibri" w:eastAsia="Calibri" w:cs="Calibri"/>
                <w:sz w:val="18"/>
                <w:szCs w:val="18"/>
              </w:rPr>
            </w:pPr>
            <w:r>
              <w:rPr>
                <w:rFonts w:ascii="Calibri" w:hAnsi="Calibri" w:eastAsia="Calibri" w:cs="Calibri"/>
                <w:sz w:val="18"/>
                <w:szCs w:val="18"/>
                <w:rtl w:val="0"/>
              </w:rPr>
              <w:t>Materiaal / overig</w:t>
            </w:r>
          </w:p>
        </w:tc>
        <w:tc>
          <w:tcPr>
            <w:tcBorders>
              <w:top w:val="nil"/>
              <w:left w:val="nil"/>
              <w:bottom w:val="single" w:color="000000" w:sz="4" w:space="0"/>
              <w:right w:val="single" w:color="000000" w:sz="4" w:space="0"/>
            </w:tcBorders>
            <w:shd w:val="clear" w:color="auto" w:fill="auto"/>
            <w:vAlign w:val="center"/>
          </w:tcPr>
          <w:p w14:paraId="00000209">
            <w:pPr>
              <w:spacing w:line="240" w:lineRule="auto"/>
              <w:rPr>
                <w:rFonts w:ascii="Calibri" w:hAnsi="Calibri" w:eastAsia="Calibri" w:cs="Calibri"/>
                <w:sz w:val="18"/>
                <w:szCs w:val="18"/>
              </w:rPr>
            </w:pPr>
            <w:r>
              <w:rPr>
                <w:rFonts w:ascii="Calibri" w:hAnsi="Calibri" w:eastAsia="Calibri" w:cs="Calibri"/>
                <w:sz w:val="18"/>
                <w:szCs w:val="18"/>
                <w:rtl w:val="0"/>
              </w:rPr>
              <w:t xml:space="preserve"> €   550</w:t>
            </w:r>
          </w:p>
        </w:tc>
      </w:tr>
      <w:tr w14:paraId="2772EF01">
        <w:tblPrEx>
          <w:tblCellMar>
            <w:top w:w="0" w:type="dxa"/>
            <w:left w:w="115" w:type="dxa"/>
            <w:bottom w:w="0" w:type="dxa"/>
            <w:right w:w="115" w:type="dxa"/>
          </w:tblCellMar>
        </w:tblPrEx>
        <w:trPr>
          <w:trHeight w:val="300"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0A">
            <w:pPr>
              <w:widowControl w:val="0"/>
              <w:spacing w:line="276" w:lineRule="auto"/>
              <w:rPr>
                <w:rFonts w:ascii="Calibri" w:hAnsi="Calibri" w:eastAsia="Calibri" w:cs="Calibri"/>
                <w:sz w:val="18"/>
                <w:szCs w:val="18"/>
              </w:rPr>
            </w:pPr>
          </w:p>
        </w:tc>
        <w:tc>
          <w:tcPr>
            <w:tcBorders>
              <w:top w:val="nil"/>
              <w:left w:val="nil"/>
              <w:bottom w:val="single" w:color="000000" w:sz="8" w:space="0"/>
              <w:right w:val="single" w:color="000000" w:sz="4" w:space="0"/>
            </w:tcBorders>
            <w:shd w:val="clear" w:color="auto" w:fill="FFFFFF"/>
            <w:vAlign w:val="center"/>
          </w:tcPr>
          <w:p w14:paraId="0000020B">
            <w:pPr>
              <w:spacing w:line="240" w:lineRule="auto"/>
              <w:rPr>
                <w:rFonts w:ascii="Calibri" w:hAnsi="Calibri" w:eastAsia="Calibri" w:cs="Calibri"/>
                <w:sz w:val="18"/>
                <w:szCs w:val="18"/>
              </w:rPr>
            </w:pPr>
            <w:r>
              <w:rPr>
                <w:rFonts w:ascii="Calibri" w:hAnsi="Calibri" w:eastAsia="Calibri" w:cs="Calibri"/>
                <w:sz w:val="18"/>
                <w:szCs w:val="18"/>
                <w:rtl w:val="0"/>
              </w:rPr>
              <w:t> </w:t>
            </w:r>
          </w:p>
        </w:tc>
        <w:tc>
          <w:tcPr>
            <w:tcBorders>
              <w:top w:val="nil"/>
              <w:left w:val="nil"/>
              <w:bottom w:val="single" w:color="000000" w:sz="8" w:space="0"/>
              <w:right w:val="nil"/>
            </w:tcBorders>
            <w:shd w:val="clear" w:color="auto" w:fill="FFFFFF"/>
            <w:vAlign w:val="center"/>
          </w:tcPr>
          <w:p w14:paraId="0000020C">
            <w:pPr>
              <w:spacing w:line="240" w:lineRule="auto"/>
              <w:rPr>
                <w:rFonts w:ascii="Calibri" w:hAnsi="Calibri" w:eastAsia="Calibri" w:cs="Calibri"/>
                <w:sz w:val="18"/>
                <w:szCs w:val="18"/>
              </w:rPr>
            </w:pPr>
            <w:r>
              <w:rPr>
                <w:rFonts w:ascii="Calibri" w:hAnsi="Calibri" w:eastAsia="Calibri" w:cs="Calibri"/>
                <w:sz w:val="18"/>
                <w:szCs w:val="18"/>
                <w:rtl w:val="0"/>
              </w:rPr>
              <w:t>Bankkosten ABN</w:t>
            </w:r>
          </w:p>
        </w:tc>
        <w:tc>
          <w:tcPr>
            <w:tcBorders>
              <w:top w:val="nil"/>
              <w:left w:val="single" w:color="000000" w:sz="4" w:space="0"/>
              <w:bottom w:val="single" w:color="000000" w:sz="4" w:space="0"/>
              <w:right w:val="single" w:color="000000" w:sz="4" w:space="0"/>
            </w:tcBorders>
            <w:shd w:val="clear" w:color="auto" w:fill="auto"/>
            <w:vAlign w:val="center"/>
          </w:tcPr>
          <w:p w14:paraId="0000020D">
            <w:pPr>
              <w:spacing w:line="240" w:lineRule="auto"/>
              <w:rPr>
                <w:rFonts w:ascii="Calibri" w:hAnsi="Calibri" w:eastAsia="Calibri" w:cs="Calibri"/>
                <w:sz w:val="18"/>
                <w:szCs w:val="18"/>
              </w:rPr>
            </w:pPr>
            <w:r>
              <w:rPr>
                <w:rFonts w:ascii="Calibri" w:hAnsi="Calibri" w:eastAsia="Calibri" w:cs="Calibri"/>
                <w:sz w:val="18"/>
                <w:szCs w:val="18"/>
                <w:rtl w:val="0"/>
              </w:rPr>
              <w:t xml:space="preserve"> €   245</w:t>
            </w:r>
          </w:p>
        </w:tc>
      </w:tr>
      <w:tr w14:paraId="785B869E">
        <w:tblPrEx>
          <w:tblCellMar>
            <w:top w:w="0" w:type="dxa"/>
            <w:left w:w="115" w:type="dxa"/>
            <w:bottom w:w="0" w:type="dxa"/>
            <w:right w:w="115" w:type="dxa"/>
          </w:tblCellMar>
        </w:tblPrEx>
        <w:trPr>
          <w:trHeight w:val="300" w:hRule="atLeast"/>
        </w:trPr>
        <w:tc>
          <w:tcPr>
            <w:gridSpan w:val="3"/>
            <w:tcBorders>
              <w:top w:val="single" w:color="000000" w:sz="8" w:space="0"/>
              <w:left w:val="single" w:color="000000" w:sz="8" w:space="0"/>
              <w:bottom w:val="single" w:color="000000" w:sz="4" w:space="0"/>
              <w:right w:val="single" w:color="000000" w:sz="4" w:space="0"/>
            </w:tcBorders>
            <w:shd w:val="clear" w:color="auto" w:fill="F4B084"/>
            <w:vAlign w:val="center"/>
          </w:tcPr>
          <w:p w14:paraId="0000020E">
            <w:pPr>
              <w:spacing w:line="240" w:lineRule="auto"/>
              <w:rPr>
                <w:rFonts w:ascii="Calibri" w:hAnsi="Calibri" w:eastAsia="Calibri" w:cs="Calibri"/>
                <w:b/>
                <w:sz w:val="18"/>
                <w:szCs w:val="18"/>
              </w:rPr>
            </w:pPr>
            <w:r>
              <w:rPr>
                <w:rFonts w:ascii="Calibri" w:hAnsi="Calibri" w:eastAsia="Calibri" w:cs="Calibri"/>
                <w:b/>
                <w:sz w:val="18"/>
                <w:szCs w:val="18"/>
                <w:rtl w:val="0"/>
              </w:rPr>
              <w:t xml:space="preserve"> Totaal uitgaven </w:t>
            </w:r>
          </w:p>
        </w:tc>
        <w:tc>
          <w:tcPr>
            <w:tcBorders>
              <w:top w:val="nil"/>
              <w:left w:val="nil"/>
              <w:bottom w:val="single" w:color="000000" w:sz="4" w:space="0"/>
              <w:right w:val="single" w:color="000000" w:sz="4" w:space="0"/>
            </w:tcBorders>
            <w:shd w:val="clear" w:color="auto" w:fill="F4B084"/>
            <w:vAlign w:val="center"/>
          </w:tcPr>
          <w:p w14:paraId="00000211">
            <w:pPr>
              <w:spacing w:line="240" w:lineRule="auto"/>
              <w:rPr>
                <w:rFonts w:ascii="Calibri" w:hAnsi="Calibri" w:eastAsia="Calibri" w:cs="Calibri"/>
                <w:b/>
                <w:sz w:val="18"/>
                <w:szCs w:val="18"/>
              </w:rPr>
            </w:pPr>
            <w:r>
              <w:rPr>
                <w:rFonts w:ascii="Calibri" w:hAnsi="Calibri" w:eastAsia="Calibri" w:cs="Calibri"/>
                <w:b/>
                <w:sz w:val="18"/>
                <w:szCs w:val="18"/>
                <w:rtl w:val="0"/>
              </w:rPr>
              <w:t xml:space="preserve"> € 20.866</w:t>
            </w:r>
          </w:p>
        </w:tc>
      </w:tr>
    </w:tbl>
    <w:p w14:paraId="00000212">
      <w:pPr>
        <w:spacing w:line="240" w:lineRule="auto"/>
        <w:rPr>
          <w:b/>
          <w:sz w:val="18"/>
          <w:szCs w:val="18"/>
        </w:rPr>
      </w:pPr>
    </w:p>
    <w:p w14:paraId="00000213">
      <w:pPr>
        <w:widowControl w:val="0"/>
        <w:spacing w:line="240" w:lineRule="auto"/>
        <w:ind w:firstLine="161"/>
        <w:rPr>
          <w:b/>
          <w:sz w:val="18"/>
          <w:szCs w:val="18"/>
          <w:u w:val="single"/>
        </w:rPr>
      </w:pPr>
    </w:p>
    <w:p w14:paraId="00000214">
      <w:pPr>
        <w:widowControl w:val="0"/>
        <w:spacing w:line="240" w:lineRule="auto"/>
        <w:ind w:firstLine="161"/>
        <w:rPr>
          <w:b/>
          <w:sz w:val="18"/>
          <w:szCs w:val="18"/>
          <w:u w:val="single"/>
        </w:rPr>
      </w:pPr>
    </w:p>
    <w:p w14:paraId="00000215">
      <w:pPr>
        <w:widowControl w:val="0"/>
        <w:spacing w:line="240" w:lineRule="auto"/>
        <w:ind w:firstLine="161"/>
        <w:rPr>
          <w:b/>
          <w:sz w:val="18"/>
          <w:szCs w:val="18"/>
          <w:u w:val="single"/>
        </w:rPr>
      </w:pPr>
    </w:p>
    <w:p w14:paraId="00000216">
      <w:pPr>
        <w:widowControl w:val="0"/>
        <w:spacing w:line="240" w:lineRule="auto"/>
        <w:ind w:firstLine="161"/>
        <w:rPr>
          <w:b/>
          <w:sz w:val="18"/>
          <w:szCs w:val="18"/>
          <w:u w:val="single"/>
        </w:rPr>
      </w:pPr>
    </w:p>
    <w:p w14:paraId="00000217">
      <w:pPr>
        <w:widowControl w:val="0"/>
        <w:spacing w:line="240" w:lineRule="auto"/>
        <w:ind w:firstLine="161"/>
        <w:rPr>
          <w:b/>
          <w:sz w:val="18"/>
          <w:szCs w:val="18"/>
          <w:u w:val="single"/>
        </w:rPr>
      </w:pPr>
    </w:p>
    <w:p w14:paraId="00000218">
      <w:pPr>
        <w:widowControl w:val="0"/>
        <w:spacing w:line="240" w:lineRule="auto"/>
        <w:ind w:firstLine="161"/>
        <w:rPr>
          <w:b/>
          <w:sz w:val="18"/>
          <w:szCs w:val="18"/>
          <w:u w:val="single"/>
        </w:rPr>
      </w:pPr>
    </w:p>
    <w:p w14:paraId="00000219">
      <w:pPr>
        <w:widowControl w:val="0"/>
        <w:spacing w:line="240" w:lineRule="auto"/>
        <w:ind w:firstLine="161"/>
        <w:rPr>
          <w:b/>
          <w:sz w:val="18"/>
          <w:szCs w:val="18"/>
          <w:u w:val="single"/>
        </w:rPr>
      </w:pPr>
    </w:p>
    <w:p w14:paraId="0000021A">
      <w:pPr>
        <w:widowControl w:val="0"/>
        <w:spacing w:line="240" w:lineRule="auto"/>
        <w:ind w:firstLine="161"/>
        <w:rPr>
          <w:b/>
          <w:sz w:val="18"/>
          <w:szCs w:val="18"/>
          <w:u w:val="single"/>
        </w:rPr>
      </w:pPr>
    </w:p>
    <w:p w14:paraId="0000021B">
      <w:pPr>
        <w:widowControl w:val="0"/>
        <w:spacing w:line="240" w:lineRule="auto"/>
        <w:ind w:firstLine="161"/>
        <w:rPr>
          <w:b/>
          <w:sz w:val="18"/>
          <w:szCs w:val="18"/>
          <w:u w:val="single"/>
        </w:rPr>
      </w:pPr>
    </w:p>
    <w:p w14:paraId="0000021C">
      <w:pPr>
        <w:widowControl w:val="0"/>
        <w:spacing w:line="240" w:lineRule="auto"/>
        <w:ind w:firstLine="161"/>
        <w:rPr>
          <w:b/>
          <w:sz w:val="18"/>
          <w:szCs w:val="18"/>
          <w:u w:val="single"/>
        </w:rPr>
      </w:pPr>
    </w:p>
    <w:p w14:paraId="0000021D">
      <w:pPr>
        <w:widowControl w:val="0"/>
        <w:spacing w:line="240" w:lineRule="auto"/>
        <w:ind w:firstLine="161"/>
        <w:rPr>
          <w:b/>
          <w:sz w:val="18"/>
          <w:szCs w:val="18"/>
          <w:u w:val="single"/>
        </w:rPr>
      </w:pPr>
    </w:p>
    <w:p w14:paraId="0000021E">
      <w:pPr>
        <w:widowControl w:val="0"/>
        <w:spacing w:line="240" w:lineRule="auto"/>
        <w:ind w:firstLine="161"/>
        <w:rPr>
          <w:b/>
          <w:sz w:val="18"/>
          <w:szCs w:val="18"/>
          <w:u w:val="single"/>
        </w:rPr>
      </w:pPr>
    </w:p>
    <w:p w14:paraId="0000021F">
      <w:pPr>
        <w:widowControl w:val="0"/>
        <w:spacing w:line="240" w:lineRule="auto"/>
        <w:ind w:firstLine="161"/>
        <w:rPr>
          <w:b/>
          <w:sz w:val="18"/>
          <w:szCs w:val="18"/>
          <w:u w:val="single"/>
        </w:rPr>
      </w:pPr>
    </w:p>
    <w:p w14:paraId="00000220">
      <w:pPr>
        <w:widowControl w:val="0"/>
        <w:spacing w:line="240" w:lineRule="auto"/>
        <w:ind w:firstLine="161"/>
        <w:rPr>
          <w:b/>
          <w:sz w:val="18"/>
          <w:szCs w:val="18"/>
          <w:u w:val="single"/>
        </w:rPr>
      </w:pPr>
    </w:p>
    <w:p w14:paraId="00000221">
      <w:pPr>
        <w:widowControl w:val="0"/>
        <w:spacing w:line="240" w:lineRule="auto"/>
        <w:ind w:firstLine="161"/>
        <w:rPr>
          <w:b/>
          <w:sz w:val="18"/>
          <w:szCs w:val="18"/>
          <w:u w:val="single"/>
        </w:rPr>
      </w:pPr>
    </w:p>
    <w:p w14:paraId="00000222">
      <w:pPr>
        <w:widowControl w:val="0"/>
        <w:spacing w:line="240" w:lineRule="auto"/>
        <w:ind w:firstLine="161"/>
        <w:rPr>
          <w:b/>
          <w:sz w:val="18"/>
          <w:szCs w:val="18"/>
          <w:u w:val="single"/>
        </w:rPr>
      </w:pPr>
    </w:p>
    <w:p w14:paraId="00000223">
      <w:pPr>
        <w:widowControl w:val="0"/>
        <w:spacing w:line="240" w:lineRule="auto"/>
        <w:ind w:firstLine="161"/>
        <w:rPr>
          <w:b/>
          <w:sz w:val="18"/>
          <w:szCs w:val="18"/>
        </w:rPr>
      </w:pPr>
      <w:r>
        <w:rPr>
          <w:b/>
          <w:sz w:val="18"/>
          <w:szCs w:val="18"/>
          <w:u w:val="single"/>
          <w:rtl w:val="0"/>
        </w:rPr>
        <w:t>Bijlage 5 Financiële verantwoording over het schooljaar 2025</w:t>
      </w:r>
      <w:r>
        <w:rPr>
          <w:b/>
          <w:sz w:val="18"/>
          <w:szCs w:val="18"/>
          <w:rtl w:val="0"/>
        </w:rPr>
        <w:t xml:space="preserve"> </w:t>
      </w:r>
    </w:p>
    <w:p w14:paraId="00000224">
      <w:pPr>
        <w:widowControl w:val="0"/>
        <w:spacing w:before="283" w:line="245" w:lineRule="auto"/>
        <w:ind w:left="161" w:right="74" w:firstLine="1"/>
        <w:rPr>
          <w:sz w:val="18"/>
          <w:szCs w:val="18"/>
        </w:rPr>
      </w:pPr>
      <w:r>
        <w:rPr>
          <w:sz w:val="18"/>
          <w:szCs w:val="18"/>
          <w:rtl w:val="0"/>
        </w:rPr>
        <w:t xml:space="preserve">De tabel hieronder laat de voorlopige raming zien met de informatie die op dit moment beschikbaar is. </w:t>
      </w:r>
    </w:p>
    <w:p w14:paraId="00000225">
      <w:pPr>
        <w:widowControl w:val="0"/>
        <w:rPr>
          <w:b/>
          <w:sz w:val="18"/>
          <w:szCs w:val="18"/>
        </w:rPr>
      </w:pPr>
    </w:p>
    <w:tbl>
      <w:tblPr>
        <w:tblStyle w:val="32"/>
        <w:tblW w:w="8640" w:type="dxa"/>
        <w:tblInd w:w="0" w:type="dxa"/>
        <w:tblLayout w:type="fixed"/>
        <w:tblCellMar>
          <w:top w:w="0" w:type="dxa"/>
          <w:left w:w="108" w:type="dxa"/>
          <w:bottom w:w="0" w:type="dxa"/>
          <w:right w:w="108" w:type="dxa"/>
        </w:tblCellMar>
      </w:tblPr>
      <w:tblGrid>
        <w:gridCol w:w="1035"/>
        <w:gridCol w:w="2550"/>
        <w:gridCol w:w="2670"/>
        <w:gridCol w:w="2385"/>
      </w:tblGrid>
      <w:tr w14:paraId="7FAE41BF">
        <w:tblPrEx>
          <w:tblCellMar>
            <w:top w:w="0" w:type="dxa"/>
            <w:left w:w="108" w:type="dxa"/>
            <w:bottom w:w="0" w:type="dxa"/>
            <w:right w:w="108" w:type="dxa"/>
          </w:tblCellMar>
        </w:tblPrEx>
        <w:trPr>
          <w:trHeight w:val="648" w:hRule="atLeast"/>
        </w:trPr>
        <w:tc>
          <w:tcPr>
            <w:gridSpan w:val="4"/>
            <w:tcBorders>
              <w:top w:val="single" w:color="000000" w:sz="8" w:space="0"/>
              <w:left w:val="single" w:color="000000" w:sz="8" w:space="0"/>
              <w:bottom w:val="nil"/>
              <w:right w:val="single" w:color="000000" w:sz="8" w:space="0"/>
            </w:tcBorders>
            <w:shd w:val="clear" w:color="auto" w:fill="FFFFFF"/>
            <w:vAlign w:val="center"/>
          </w:tcPr>
          <w:p w14:paraId="00000226">
            <w:pPr>
              <w:jc w:val="center"/>
              <w:rPr>
                <w:rFonts w:ascii="Calibri" w:hAnsi="Calibri" w:eastAsia="Calibri" w:cs="Calibri"/>
                <w:b/>
                <w:sz w:val="18"/>
                <w:szCs w:val="18"/>
              </w:rPr>
            </w:pPr>
            <w:r>
              <w:rPr>
                <w:rFonts w:ascii="Calibri" w:hAnsi="Calibri" w:eastAsia="Calibri" w:cs="Calibri"/>
                <w:b/>
                <w:sz w:val="18"/>
                <w:szCs w:val="18"/>
                <w:rtl w:val="0"/>
              </w:rPr>
              <w:t>FINANCIËLE RAMING 2026</w:t>
            </w:r>
          </w:p>
        </w:tc>
      </w:tr>
      <w:tr w14:paraId="3E09C120">
        <w:tblPrEx>
          <w:tblCellMar>
            <w:top w:w="0" w:type="dxa"/>
            <w:left w:w="108" w:type="dxa"/>
            <w:bottom w:w="0" w:type="dxa"/>
            <w:right w:w="108" w:type="dxa"/>
          </w:tblCellMar>
        </w:tblPrEx>
        <w:trPr>
          <w:trHeight w:val="576" w:hRule="atLeast"/>
        </w:trPr>
        <w:tc>
          <w:tcPr>
            <w:tcBorders>
              <w:top w:val="single" w:color="000000" w:sz="8" w:space="0"/>
              <w:left w:val="single" w:color="000000" w:sz="8" w:space="0"/>
              <w:bottom w:val="single" w:color="000000" w:sz="4" w:space="0"/>
              <w:right w:val="single" w:color="000000" w:sz="4" w:space="0"/>
            </w:tcBorders>
            <w:shd w:val="clear" w:color="auto" w:fill="auto"/>
            <w:vAlign w:val="center"/>
          </w:tcPr>
          <w:p w14:paraId="0000022A">
            <w:pPr>
              <w:rPr>
                <w:rFonts w:ascii="Calibri" w:hAnsi="Calibri" w:eastAsia="Calibri" w:cs="Calibri"/>
                <w:b/>
                <w:sz w:val="18"/>
                <w:szCs w:val="18"/>
              </w:rPr>
            </w:pPr>
          </w:p>
        </w:tc>
        <w:tc>
          <w:tcPr>
            <w:tcBorders>
              <w:top w:val="single" w:color="000000" w:sz="8" w:space="0"/>
              <w:left w:val="nil"/>
              <w:bottom w:val="single" w:color="000000" w:sz="4" w:space="0"/>
              <w:right w:val="single" w:color="000000" w:sz="4" w:space="0"/>
            </w:tcBorders>
            <w:shd w:val="clear" w:color="auto" w:fill="FFFFFF"/>
            <w:vAlign w:val="bottom"/>
          </w:tcPr>
          <w:p w14:paraId="0000022B">
            <w:pPr>
              <w:rPr>
                <w:rFonts w:ascii="Calibri" w:hAnsi="Calibri" w:eastAsia="Calibri" w:cs="Calibri"/>
                <w:b/>
                <w:sz w:val="18"/>
                <w:szCs w:val="18"/>
              </w:rPr>
            </w:pPr>
            <w:r>
              <w:rPr>
                <w:rFonts w:ascii="Calibri" w:hAnsi="Calibri" w:eastAsia="Calibri" w:cs="Calibri"/>
                <w:b/>
                <w:sz w:val="18"/>
                <w:szCs w:val="18"/>
                <w:rtl w:val="0"/>
              </w:rPr>
              <w:t>status rekening courant</w:t>
            </w:r>
          </w:p>
        </w:tc>
        <w:tc>
          <w:tcPr>
            <w:tcBorders>
              <w:top w:val="single" w:color="000000" w:sz="8" w:space="0"/>
              <w:left w:val="nil"/>
              <w:bottom w:val="single" w:color="000000" w:sz="4" w:space="0"/>
              <w:right w:val="nil"/>
            </w:tcBorders>
            <w:shd w:val="clear" w:color="auto" w:fill="FFFFFF"/>
            <w:vAlign w:val="center"/>
          </w:tcPr>
          <w:p w14:paraId="0000022C">
            <w:pPr>
              <w:rPr>
                <w:rFonts w:ascii="Calibri" w:hAnsi="Calibri" w:eastAsia="Calibri" w:cs="Calibri"/>
                <w:b/>
                <w:sz w:val="18"/>
                <w:szCs w:val="18"/>
              </w:rPr>
            </w:pPr>
            <w:r>
              <w:rPr>
                <w:rFonts w:ascii="Calibri" w:hAnsi="Calibri" w:eastAsia="Calibri" w:cs="Calibri"/>
                <w:b/>
                <w:sz w:val="18"/>
                <w:szCs w:val="18"/>
                <w:rtl w:val="0"/>
              </w:rPr>
              <w:t>verwacht saldo 1jan</w:t>
            </w:r>
          </w:p>
        </w:tc>
        <w:tc>
          <w:tcPr>
            <w:tcBorders>
              <w:top w:val="single" w:color="000000" w:sz="4" w:space="0"/>
              <w:left w:val="single" w:color="000000" w:sz="4" w:space="0"/>
              <w:bottom w:val="single" w:color="000000" w:sz="4" w:space="0"/>
              <w:right w:val="single" w:color="000000" w:sz="4" w:space="0"/>
            </w:tcBorders>
            <w:shd w:val="clear" w:color="auto" w:fill="auto"/>
            <w:vAlign w:val="center"/>
          </w:tcPr>
          <w:p w14:paraId="0000022D">
            <w:pPr>
              <w:rPr>
                <w:rFonts w:ascii="Calibri" w:hAnsi="Calibri" w:eastAsia="Calibri" w:cs="Calibri"/>
                <w:b/>
                <w:sz w:val="18"/>
                <w:szCs w:val="18"/>
              </w:rPr>
            </w:pPr>
            <w:r>
              <w:rPr>
                <w:rFonts w:ascii="Calibri" w:hAnsi="Calibri" w:eastAsia="Calibri" w:cs="Calibri"/>
                <w:b/>
                <w:sz w:val="18"/>
                <w:szCs w:val="18"/>
                <w:rtl w:val="0"/>
              </w:rPr>
              <w:t xml:space="preserve"> €       19.700</w:t>
            </w:r>
          </w:p>
        </w:tc>
      </w:tr>
      <w:tr w14:paraId="02BDBA9E">
        <w:tblPrEx>
          <w:tblCellMar>
            <w:top w:w="0" w:type="dxa"/>
            <w:left w:w="108" w:type="dxa"/>
            <w:bottom w:w="0" w:type="dxa"/>
            <w:right w:w="108" w:type="dxa"/>
          </w:tblCellMar>
        </w:tblPrEx>
        <w:trPr>
          <w:trHeight w:val="162" w:hRule="atLeast"/>
        </w:trPr>
        <w:tc>
          <w:tcPr>
            <w:tcBorders>
              <w:top w:val="single" w:color="000000" w:sz="8" w:space="0"/>
              <w:left w:val="single" w:color="000000" w:sz="8" w:space="0"/>
              <w:bottom w:val="single" w:color="000000" w:sz="4" w:space="0"/>
              <w:right w:val="single" w:color="000000" w:sz="4" w:space="0"/>
            </w:tcBorders>
            <w:shd w:val="clear" w:color="auto" w:fill="auto"/>
            <w:vAlign w:val="center"/>
          </w:tcPr>
          <w:p w14:paraId="0000022E">
            <w:pPr>
              <w:rPr>
                <w:rFonts w:ascii="Calibri" w:hAnsi="Calibri" w:eastAsia="Calibri" w:cs="Calibri"/>
                <w:b/>
                <w:sz w:val="2"/>
                <w:szCs w:val="2"/>
              </w:rPr>
            </w:pPr>
          </w:p>
        </w:tc>
        <w:tc>
          <w:tcPr>
            <w:tcBorders>
              <w:top w:val="single" w:color="000000" w:sz="8" w:space="0"/>
              <w:left w:val="nil"/>
              <w:bottom w:val="single" w:color="000000" w:sz="4" w:space="0"/>
              <w:right w:val="single" w:color="000000" w:sz="4" w:space="0"/>
            </w:tcBorders>
            <w:shd w:val="clear" w:color="auto" w:fill="FFFFFF"/>
            <w:vAlign w:val="bottom"/>
          </w:tcPr>
          <w:p w14:paraId="0000022F">
            <w:pPr>
              <w:rPr>
                <w:rFonts w:ascii="Calibri" w:hAnsi="Calibri" w:eastAsia="Calibri" w:cs="Calibri"/>
                <w:b/>
                <w:sz w:val="2"/>
                <w:szCs w:val="2"/>
              </w:rPr>
            </w:pPr>
          </w:p>
        </w:tc>
        <w:tc>
          <w:tcPr>
            <w:tcBorders>
              <w:top w:val="single" w:color="000000" w:sz="8" w:space="0"/>
              <w:left w:val="nil"/>
              <w:bottom w:val="single" w:color="000000" w:sz="4" w:space="0"/>
              <w:right w:val="nil"/>
            </w:tcBorders>
            <w:shd w:val="clear" w:color="auto" w:fill="FFFFFF"/>
            <w:vAlign w:val="center"/>
          </w:tcPr>
          <w:p w14:paraId="00000230">
            <w:pPr>
              <w:rPr>
                <w:rFonts w:ascii="Calibri" w:hAnsi="Calibri" w:eastAsia="Calibri" w:cs="Calibri"/>
                <w:b/>
                <w:sz w:val="2"/>
                <w:szCs w:val="2"/>
              </w:rPr>
            </w:pPr>
          </w:p>
        </w:tc>
        <w:tc>
          <w:tcPr>
            <w:tcBorders>
              <w:top w:val="single" w:color="000000" w:sz="4" w:space="0"/>
              <w:left w:val="single" w:color="000000" w:sz="4" w:space="0"/>
              <w:bottom w:val="single" w:color="000000" w:sz="4" w:space="0"/>
              <w:right w:val="single" w:color="000000" w:sz="4" w:space="0"/>
            </w:tcBorders>
            <w:shd w:val="clear" w:color="auto" w:fill="auto"/>
            <w:vAlign w:val="center"/>
          </w:tcPr>
          <w:p w14:paraId="00000231">
            <w:pPr>
              <w:rPr>
                <w:rFonts w:ascii="Calibri" w:hAnsi="Calibri" w:eastAsia="Calibri" w:cs="Calibri"/>
                <w:b/>
                <w:sz w:val="2"/>
                <w:szCs w:val="2"/>
              </w:rPr>
            </w:pPr>
          </w:p>
        </w:tc>
      </w:tr>
      <w:tr w14:paraId="68BB4F5F">
        <w:tblPrEx>
          <w:tblCellMar>
            <w:top w:w="0" w:type="dxa"/>
            <w:left w:w="108" w:type="dxa"/>
            <w:bottom w:w="0" w:type="dxa"/>
            <w:right w:w="108" w:type="dxa"/>
          </w:tblCellMar>
        </w:tblPrEx>
        <w:trPr>
          <w:trHeight w:val="576" w:hRule="atLeast"/>
        </w:trPr>
        <w:tc>
          <w:tcPr>
            <w:tcBorders>
              <w:top w:val="single" w:color="000000" w:sz="8" w:space="0"/>
              <w:left w:val="single" w:color="000000" w:sz="8" w:space="0"/>
              <w:bottom w:val="single" w:color="000000" w:sz="4" w:space="0"/>
              <w:right w:val="single" w:color="000000" w:sz="4" w:space="0"/>
            </w:tcBorders>
            <w:shd w:val="clear" w:color="auto" w:fill="auto"/>
            <w:vAlign w:val="center"/>
          </w:tcPr>
          <w:p w14:paraId="00000232">
            <w:pPr>
              <w:rPr>
                <w:rFonts w:ascii="Calibri" w:hAnsi="Calibri" w:eastAsia="Calibri" w:cs="Calibri"/>
                <w:b/>
                <w:sz w:val="18"/>
                <w:szCs w:val="18"/>
              </w:rPr>
            </w:pPr>
            <w:r>
              <w:rPr>
                <w:rFonts w:ascii="Calibri" w:hAnsi="Calibri" w:eastAsia="Calibri" w:cs="Calibri"/>
                <w:b/>
                <w:sz w:val="18"/>
                <w:szCs w:val="18"/>
                <w:rtl w:val="0"/>
              </w:rPr>
              <w:t> </w:t>
            </w:r>
          </w:p>
        </w:tc>
        <w:tc>
          <w:tcPr>
            <w:tcBorders>
              <w:top w:val="single" w:color="000000" w:sz="8" w:space="0"/>
              <w:left w:val="nil"/>
              <w:bottom w:val="single" w:color="000000" w:sz="4" w:space="0"/>
              <w:right w:val="single" w:color="000000" w:sz="4" w:space="0"/>
            </w:tcBorders>
            <w:shd w:val="clear" w:color="auto" w:fill="FFFFFF"/>
            <w:vAlign w:val="bottom"/>
          </w:tcPr>
          <w:p w14:paraId="00000233">
            <w:pPr>
              <w:rPr>
                <w:rFonts w:ascii="Calibri" w:hAnsi="Calibri" w:eastAsia="Calibri" w:cs="Calibri"/>
                <w:b/>
                <w:sz w:val="18"/>
                <w:szCs w:val="18"/>
              </w:rPr>
            </w:pPr>
            <w:r>
              <w:rPr>
                <w:rFonts w:ascii="Calibri" w:hAnsi="Calibri" w:eastAsia="Calibri" w:cs="Calibri"/>
                <w:b/>
                <w:sz w:val="18"/>
                <w:szCs w:val="18"/>
                <w:rtl w:val="0"/>
              </w:rPr>
              <w:t> </w:t>
            </w:r>
          </w:p>
        </w:tc>
        <w:tc>
          <w:tcPr>
            <w:tcBorders>
              <w:top w:val="single" w:color="000000" w:sz="8" w:space="0"/>
              <w:left w:val="nil"/>
              <w:bottom w:val="single" w:color="000000" w:sz="4" w:space="0"/>
              <w:right w:val="nil"/>
            </w:tcBorders>
            <w:shd w:val="clear" w:color="auto" w:fill="FFFFFF"/>
            <w:vAlign w:val="center"/>
          </w:tcPr>
          <w:p w14:paraId="00000234">
            <w:pPr>
              <w:rPr>
                <w:rFonts w:ascii="Calibri" w:hAnsi="Calibri" w:eastAsia="Calibri" w:cs="Calibri"/>
                <w:b/>
                <w:sz w:val="18"/>
                <w:szCs w:val="18"/>
              </w:rPr>
            </w:pPr>
            <w:r>
              <w:rPr>
                <w:rFonts w:ascii="Calibri" w:hAnsi="Calibri" w:eastAsia="Calibri" w:cs="Calibri"/>
                <w:b/>
                <w:sz w:val="18"/>
                <w:szCs w:val="18"/>
                <w:rtl w:val="0"/>
              </w:rPr>
              <w:t>Item</w:t>
            </w:r>
          </w:p>
        </w:tc>
        <w:tc>
          <w:tcPr>
            <w:tcBorders>
              <w:top w:val="single" w:color="000000" w:sz="4" w:space="0"/>
              <w:left w:val="single" w:color="000000" w:sz="4" w:space="0"/>
              <w:bottom w:val="single" w:color="000000" w:sz="4" w:space="0"/>
              <w:right w:val="single" w:color="000000" w:sz="4" w:space="0"/>
            </w:tcBorders>
            <w:shd w:val="clear" w:color="auto" w:fill="auto"/>
            <w:vAlign w:val="center"/>
          </w:tcPr>
          <w:p w14:paraId="00000235">
            <w:pPr>
              <w:rPr>
                <w:rFonts w:ascii="Calibri" w:hAnsi="Calibri" w:eastAsia="Calibri" w:cs="Calibri"/>
                <w:b/>
                <w:sz w:val="18"/>
                <w:szCs w:val="18"/>
              </w:rPr>
            </w:pPr>
            <w:r>
              <w:rPr>
                <w:rFonts w:ascii="Calibri" w:hAnsi="Calibri" w:eastAsia="Calibri" w:cs="Calibri"/>
                <w:b/>
                <w:sz w:val="18"/>
                <w:szCs w:val="18"/>
                <w:rtl w:val="0"/>
              </w:rPr>
              <w:t>Totaal EUR</w:t>
            </w:r>
          </w:p>
        </w:tc>
      </w:tr>
      <w:tr w14:paraId="46C9E0AA">
        <w:tblPrEx>
          <w:tblCellMar>
            <w:top w:w="0" w:type="dxa"/>
            <w:left w:w="108" w:type="dxa"/>
            <w:bottom w:w="0" w:type="dxa"/>
            <w:right w:w="108" w:type="dxa"/>
          </w:tblCellMar>
        </w:tblPrEx>
        <w:trPr>
          <w:trHeight w:val="288" w:hRule="atLeast"/>
        </w:trPr>
        <w:tc>
          <w:tcPr>
            <w:tcBorders>
              <w:top w:val="nil"/>
              <w:left w:val="single" w:color="000000" w:sz="8" w:space="0"/>
              <w:bottom w:val="nil"/>
              <w:right w:val="nil"/>
            </w:tcBorders>
            <w:shd w:val="clear" w:color="auto" w:fill="auto"/>
            <w:vAlign w:val="bottom"/>
          </w:tcPr>
          <w:p w14:paraId="00000236">
            <w:pPr>
              <w:rPr>
                <w:rFonts w:ascii="Calibri" w:hAnsi="Calibri" w:eastAsia="Calibri" w:cs="Calibri"/>
                <w:b/>
                <w:sz w:val="18"/>
                <w:szCs w:val="18"/>
              </w:rPr>
            </w:pPr>
          </w:p>
        </w:tc>
        <w:tc>
          <w:tcPr>
            <w:tcBorders>
              <w:top w:val="nil"/>
              <w:left w:val="single" w:color="000000" w:sz="8" w:space="0"/>
              <w:bottom w:val="nil"/>
              <w:right w:val="single" w:color="000000" w:sz="4" w:space="0"/>
            </w:tcBorders>
            <w:shd w:val="clear" w:color="auto" w:fill="FFFFFF"/>
            <w:vAlign w:val="center"/>
          </w:tcPr>
          <w:p w14:paraId="00000237">
            <w:pPr>
              <w:rPr>
                <w:rFonts w:ascii="Calibri" w:hAnsi="Calibri" w:eastAsia="Calibri" w:cs="Calibri"/>
                <w:b/>
                <w:sz w:val="18"/>
                <w:szCs w:val="18"/>
              </w:rPr>
            </w:pPr>
            <w:r>
              <w:rPr>
                <w:rFonts w:ascii="Calibri" w:hAnsi="Calibri" w:eastAsia="Calibri" w:cs="Calibri"/>
                <w:b/>
                <w:sz w:val="18"/>
                <w:szCs w:val="18"/>
                <w:rtl w:val="0"/>
              </w:rPr>
              <w:t>reservefonds</w:t>
            </w:r>
          </w:p>
        </w:tc>
        <w:tc>
          <w:tcPr>
            <w:tcBorders>
              <w:top w:val="nil"/>
              <w:left w:val="nil"/>
              <w:bottom w:val="single" w:color="000000" w:sz="4" w:space="0"/>
              <w:right w:val="nil"/>
            </w:tcBorders>
            <w:shd w:val="clear" w:color="auto" w:fill="FFFFFF"/>
            <w:vAlign w:val="center"/>
          </w:tcPr>
          <w:p w14:paraId="00000238">
            <w:pPr>
              <w:rPr>
                <w:rFonts w:ascii="Calibri" w:hAnsi="Calibri" w:eastAsia="Calibri" w:cs="Calibri"/>
                <w:b/>
                <w:sz w:val="18"/>
                <w:szCs w:val="18"/>
              </w:rPr>
            </w:pPr>
            <w:r>
              <w:rPr>
                <w:rFonts w:ascii="Calibri" w:hAnsi="Calibri" w:eastAsia="Calibri" w:cs="Calibri"/>
                <w:b/>
                <w:sz w:val="18"/>
                <w:szCs w:val="18"/>
                <w:rtl w:val="0"/>
              </w:rPr>
              <w:t>overschot 2025</w:t>
            </w:r>
          </w:p>
        </w:tc>
        <w:tc>
          <w:tcPr>
            <w:tcBorders>
              <w:top w:val="nil"/>
              <w:left w:val="single" w:color="000000" w:sz="4" w:space="0"/>
              <w:bottom w:val="single" w:color="000000" w:sz="4" w:space="0"/>
              <w:right w:val="single" w:color="000000" w:sz="4" w:space="0"/>
            </w:tcBorders>
            <w:shd w:val="clear" w:color="auto" w:fill="auto"/>
          </w:tcPr>
          <w:p w14:paraId="00000239">
            <w:pPr>
              <w:rPr>
                <w:rFonts w:ascii="Calibri" w:hAnsi="Calibri" w:eastAsia="Calibri" w:cs="Calibri"/>
                <w:b/>
                <w:sz w:val="16"/>
                <w:szCs w:val="16"/>
              </w:rPr>
            </w:pPr>
            <w:r>
              <w:rPr>
                <w:rFonts w:ascii="Calibri" w:hAnsi="Calibri" w:eastAsia="Calibri" w:cs="Calibri"/>
                <w:b/>
                <w:sz w:val="16"/>
                <w:szCs w:val="16"/>
                <w:rtl w:val="0"/>
              </w:rPr>
              <w:t xml:space="preserve"> €       </w:t>
            </w:r>
            <w:r>
              <w:rPr>
                <w:rFonts w:ascii="Calibri" w:hAnsi="Calibri" w:eastAsia="Calibri" w:cs="Calibri"/>
                <w:b/>
                <w:sz w:val="18"/>
                <w:szCs w:val="18"/>
                <w:rtl w:val="0"/>
              </w:rPr>
              <w:t>4.430</w:t>
            </w:r>
          </w:p>
        </w:tc>
      </w:tr>
      <w:tr w14:paraId="7826E253">
        <w:tblPrEx>
          <w:tblCellMar>
            <w:top w:w="0" w:type="dxa"/>
            <w:left w:w="108" w:type="dxa"/>
            <w:bottom w:w="0" w:type="dxa"/>
            <w:right w:w="108" w:type="dxa"/>
          </w:tblCellMar>
        </w:tblPrEx>
        <w:trPr>
          <w:trHeight w:val="288" w:hRule="atLeast"/>
        </w:trPr>
        <w:tc>
          <w:tcPr>
            <w:tcBorders>
              <w:top w:val="nil"/>
              <w:left w:val="single" w:color="000000" w:sz="8" w:space="0"/>
              <w:bottom w:val="nil"/>
              <w:right w:val="nil"/>
            </w:tcBorders>
            <w:shd w:val="clear" w:color="auto" w:fill="auto"/>
            <w:vAlign w:val="bottom"/>
          </w:tcPr>
          <w:p w14:paraId="0000023A">
            <w:pPr>
              <w:rPr>
                <w:rFonts w:ascii="Calibri" w:hAnsi="Calibri" w:eastAsia="Calibri" w:cs="Calibri"/>
                <w:b/>
                <w:sz w:val="18"/>
                <w:szCs w:val="18"/>
              </w:rPr>
            </w:pPr>
          </w:p>
        </w:tc>
        <w:tc>
          <w:tcPr>
            <w:tcBorders>
              <w:top w:val="nil"/>
              <w:left w:val="single" w:color="000000" w:sz="8" w:space="0"/>
              <w:bottom w:val="nil"/>
              <w:right w:val="single" w:color="000000" w:sz="4" w:space="0"/>
            </w:tcBorders>
            <w:shd w:val="clear" w:color="auto" w:fill="FFFFFF"/>
            <w:vAlign w:val="center"/>
          </w:tcPr>
          <w:p w14:paraId="0000023B">
            <w:pPr>
              <w:rPr>
                <w:rFonts w:ascii="Calibri" w:hAnsi="Calibri" w:eastAsia="Calibri" w:cs="Calibri"/>
                <w:b/>
                <w:sz w:val="18"/>
                <w:szCs w:val="18"/>
              </w:rPr>
            </w:pPr>
          </w:p>
        </w:tc>
        <w:tc>
          <w:tcPr>
            <w:tcBorders>
              <w:top w:val="nil"/>
              <w:left w:val="nil"/>
              <w:bottom w:val="single" w:color="000000" w:sz="4" w:space="0"/>
              <w:right w:val="nil"/>
            </w:tcBorders>
            <w:shd w:val="clear" w:color="auto" w:fill="FFFFFF"/>
            <w:vAlign w:val="center"/>
          </w:tcPr>
          <w:p w14:paraId="0000023C">
            <w:pPr>
              <w:rPr>
                <w:rFonts w:ascii="Calibri" w:hAnsi="Calibri" w:eastAsia="Calibri" w:cs="Calibri"/>
                <w:b/>
                <w:sz w:val="18"/>
                <w:szCs w:val="18"/>
              </w:rPr>
            </w:pPr>
            <w:r>
              <w:rPr>
                <w:rFonts w:ascii="Calibri" w:hAnsi="Calibri" w:eastAsia="Calibri" w:cs="Calibri"/>
                <w:b/>
                <w:sz w:val="18"/>
                <w:szCs w:val="18"/>
                <w:rtl w:val="0"/>
              </w:rPr>
              <w:t>reservepot</w:t>
            </w:r>
          </w:p>
        </w:tc>
        <w:tc>
          <w:tcPr>
            <w:tcBorders>
              <w:top w:val="nil"/>
              <w:left w:val="single" w:color="000000" w:sz="4" w:space="0"/>
              <w:bottom w:val="single" w:color="000000" w:sz="4" w:space="0"/>
              <w:right w:val="single" w:color="000000" w:sz="4" w:space="0"/>
            </w:tcBorders>
            <w:shd w:val="clear" w:color="auto" w:fill="auto"/>
          </w:tcPr>
          <w:p w14:paraId="0000023D">
            <w:pPr>
              <w:rPr>
                <w:rFonts w:ascii="Calibri" w:hAnsi="Calibri" w:eastAsia="Calibri" w:cs="Calibri"/>
                <w:b/>
                <w:sz w:val="20"/>
                <w:szCs w:val="20"/>
              </w:rPr>
            </w:pPr>
            <w:r>
              <w:rPr>
                <w:rFonts w:ascii="Calibri" w:hAnsi="Calibri" w:eastAsia="Calibri" w:cs="Calibri"/>
                <w:b/>
                <w:sz w:val="16"/>
                <w:szCs w:val="16"/>
                <w:rtl w:val="0"/>
              </w:rPr>
              <w:t xml:space="preserve"> €       </w:t>
            </w:r>
            <w:r>
              <w:rPr>
                <w:rFonts w:ascii="Calibri" w:hAnsi="Calibri" w:eastAsia="Calibri" w:cs="Calibri"/>
                <w:b/>
                <w:sz w:val="18"/>
                <w:szCs w:val="18"/>
                <w:rtl w:val="0"/>
              </w:rPr>
              <w:t>1.000</w:t>
            </w:r>
          </w:p>
        </w:tc>
      </w:tr>
      <w:tr w14:paraId="1413242C">
        <w:tblPrEx>
          <w:tblCellMar>
            <w:top w:w="0" w:type="dxa"/>
            <w:left w:w="108" w:type="dxa"/>
            <w:bottom w:w="0" w:type="dxa"/>
            <w:right w:w="108" w:type="dxa"/>
          </w:tblCellMar>
        </w:tblPrEx>
        <w:trPr>
          <w:trHeight w:val="288" w:hRule="atLeast"/>
        </w:trPr>
        <w:tc>
          <w:tcPr>
            <w:tcBorders>
              <w:top w:val="nil"/>
              <w:left w:val="single" w:color="000000" w:sz="8" w:space="0"/>
              <w:bottom w:val="nil"/>
              <w:right w:val="nil"/>
            </w:tcBorders>
            <w:shd w:val="clear" w:color="auto" w:fill="auto"/>
            <w:vAlign w:val="bottom"/>
          </w:tcPr>
          <w:p w14:paraId="0000023E">
            <w:pPr>
              <w:rPr>
                <w:rFonts w:ascii="Calibri" w:hAnsi="Calibri" w:eastAsia="Calibri" w:cs="Calibri"/>
                <w:b/>
                <w:sz w:val="18"/>
                <w:szCs w:val="18"/>
              </w:rPr>
            </w:pPr>
            <w:r>
              <w:rPr>
                <w:rFonts w:ascii="Calibri" w:hAnsi="Calibri" w:eastAsia="Calibri" w:cs="Calibri"/>
                <w:b/>
                <w:sz w:val="18"/>
                <w:szCs w:val="18"/>
                <w:rtl w:val="0"/>
              </w:rPr>
              <w:t> </w:t>
            </w:r>
          </w:p>
        </w:tc>
        <w:tc>
          <w:tcPr>
            <w:vMerge w:val="restart"/>
            <w:tcBorders>
              <w:top w:val="single" w:color="000000" w:sz="4" w:space="0"/>
              <w:left w:val="single" w:color="000000" w:sz="4" w:space="0"/>
              <w:bottom w:val="nil"/>
              <w:right w:val="single" w:color="000000" w:sz="4" w:space="0"/>
            </w:tcBorders>
            <w:shd w:val="clear" w:color="auto" w:fill="FFFFFF"/>
            <w:vAlign w:val="center"/>
          </w:tcPr>
          <w:p w14:paraId="0000023F">
            <w:pPr>
              <w:rPr>
                <w:rFonts w:ascii="Calibri" w:hAnsi="Calibri" w:eastAsia="Calibri" w:cs="Calibri"/>
                <w:b/>
                <w:sz w:val="18"/>
                <w:szCs w:val="18"/>
              </w:rPr>
            </w:pPr>
            <w:r>
              <w:rPr>
                <w:rFonts w:ascii="Calibri" w:hAnsi="Calibri" w:eastAsia="Calibri" w:cs="Calibri"/>
                <w:b/>
                <w:sz w:val="18"/>
                <w:szCs w:val="18"/>
                <w:rtl w:val="0"/>
              </w:rPr>
              <w:t>Inkomsten 2021</w:t>
            </w:r>
          </w:p>
        </w:tc>
        <w:tc>
          <w:tcPr>
            <w:tcBorders>
              <w:top w:val="nil"/>
              <w:left w:val="nil"/>
              <w:bottom w:val="single" w:color="000000" w:sz="4" w:space="0"/>
              <w:right w:val="nil"/>
            </w:tcBorders>
            <w:shd w:val="clear" w:color="auto" w:fill="FFFFFF"/>
            <w:vAlign w:val="center"/>
          </w:tcPr>
          <w:p w14:paraId="00000240">
            <w:pPr>
              <w:rPr>
                <w:rFonts w:ascii="Calibri" w:hAnsi="Calibri" w:eastAsia="Calibri" w:cs="Calibri"/>
                <w:b/>
                <w:sz w:val="18"/>
                <w:szCs w:val="18"/>
              </w:rPr>
            </w:pPr>
            <w:r>
              <w:rPr>
                <w:rFonts w:ascii="Calibri" w:hAnsi="Calibri" w:eastAsia="Calibri" w:cs="Calibri"/>
                <w:b/>
                <w:sz w:val="18"/>
                <w:szCs w:val="18"/>
                <w:rtl w:val="0"/>
              </w:rPr>
              <w:t>Ouderbijdrage</w:t>
            </w:r>
          </w:p>
        </w:tc>
        <w:tc>
          <w:tcPr>
            <w:tcBorders>
              <w:top w:val="nil"/>
              <w:left w:val="single" w:color="000000" w:sz="4" w:space="0"/>
              <w:bottom w:val="single" w:color="000000" w:sz="4" w:space="0"/>
              <w:right w:val="single" w:color="000000" w:sz="4" w:space="0"/>
            </w:tcBorders>
            <w:shd w:val="clear" w:color="auto" w:fill="auto"/>
            <w:vAlign w:val="center"/>
          </w:tcPr>
          <w:p w14:paraId="00000241">
            <w:pPr>
              <w:rPr>
                <w:rFonts w:ascii="Calibri" w:hAnsi="Calibri" w:eastAsia="Calibri" w:cs="Calibri"/>
                <w:b/>
                <w:sz w:val="18"/>
                <w:szCs w:val="18"/>
              </w:rPr>
            </w:pPr>
            <w:r>
              <w:rPr>
                <w:rFonts w:ascii="Calibri" w:hAnsi="Calibri" w:eastAsia="Calibri" w:cs="Calibri"/>
                <w:b/>
                <w:sz w:val="18"/>
                <w:szCs w:val="18"/>
                <w:rtl w:val="0"/>
              </w:rPr>
              <w:t xml:space="preserve"> €       11.040</w:t>
            </w:r>
          </w:p>
        </w:tc>
      </w:tr>
      <w:tr w14:paraId="346F7B63">
        <w:tblPrEx>
          <w:tblCellMar>
            <w:top w:w="0" w:type="dxa"/>
            <w:left w:w="108" w:type="dxa"/>
            <w:bottom w:w="0" w:type="dxa"/>
            <w:right w:w="108" w:type="dxa"/>
          </w:tblCellMar>
        </w:tblPrEx>
        <w:trPr>
          <w:trHeight w:val="288" w:hRule="atLeast"/>
        </w:trPr>
        <w:tc>
          <w:tcPr>
            <w:tcBorders>
              <w:top w:val="nil"/>
              <w:left w:val="single" w:color="000000" w:sz="8" w:space="0"/>
              <w:bottom w:val="nil"/>
              <w:right w:val="nil"/>
            </w:tcBorders>
            <w:shd w:val="clear" w:color="auto" w:fill="auto"/>
            <w:vAlign w:val="center"/>
          </w:tcPr>
          <w:p w14:paraId="00000242">
            <w:pPr>
              <w:rPr>
                <w:rFonts w:ascii="Calibri" w:hAnsi="Calibri" w:eastAsia="Calibri" w:cs="Calibri"/>
                <w:b/>
                <w:sz w:val="18"/>
                <w:szCs w:val="18"/>
              </w:rPr>
            </w:pPr>
            <w:r>
              <w:rPr>
                <w:rFonts w:ascii="Calibri" w:hAnsi="Calibri" w:eastAsia="Calibri" w:cs="Calibri"/>
                <w:b/>
                <w:sz w:val="18"/>
                <w:szCs w:val="18"/>
                <w:rtl w:val="0"/>
              </w:rPr>
              <w:t> </w:t>
            </w:r>
          </w:p>
        </w:tc>
        <w:tc>
          <w:tcPr>
            <w:vMerge w:val="continue"/>
            <w:tcBorders>
              <w:top w:val="single" w:color="000000" w:sz="4" w:space="0"/>
              <w:left w:val="single" w:color="000000" w:sz="4" w:space="0"/>
              <w:bottom w:val="nil"/>
              <w:right w:val="single" w:color="000000" w:sz="4" w:space="0"/>
            </w:tcBorders>
            <w:shd w:val="clear" w:color="auto" w:fill="FFFFFF"/>
            <w:vAlign w:val="center"/>
          </w:tcPr>
          <w:p w14:paraId="00000243">
            <w:pPr>
              <w:widowControl w:val="0"/>
              <w:spacing w:line="276" w:lineRule="auto"/>
              <w:rPr>
                <w:rFonts w:ascii="Calibri" w:hAnsi="Calibri" w:eastAsia="Calibri" w:cs="Calibri"/>
                <w:b/>
                <w:sz w:val="18"/>
                <w:szCs w:val="18"/>
              </w:rPr>
            </w:pPr>
          </w:p>
        </w:tc>
        <w:tc>
          <w:tcPr>
            <w:tcBorders>
              <w:top w:val="nil"/>
              <w:left w:val="nil"/>
              <w:bottom w:val="nil"/>
              <w:right w:val="nil"/>
            </w:tcBorders>
            <w:shd w:val="clear" w:color="auto" w:fill="FFFFFF"/>
            <w:vAlign w:val="center"/>
          </w:tcPr>
          <w:p w14:paraId="00000244">
            <w:pPr>
              <w:rPr>
                <w:rFonts w:ascii="Calibri" w:hAnsi="Calibri" w:eastAsia="Calibri" w:cs="Calibri"/>
                <w:b/>
                <w:sz w:val="18"/>
                <w:szCs w:val="18"/>
              </w:rPr>
            </w:pPr>
            <w:r>
              <w:rPr>
                <w:rFonts w:ascii="Calibri" w:hAnsi="Calibri" w:eastAsia="Calibri" w:cs="Calibri"/>
                <w:b/>
                <w:sz w:val="18"/>
                <w:szCs w:val="18"/>
                <w:rtl w:val="0"/>
              </w:rPr>
              <w:t>NOB-subsidie</w:t>
            </w:r>
          </w:p>
        </w:tc>
        <w:tc>
          <w:tcPr>
            <w:tcBorders>
              <w:top w:val="nil"/>
              <w:left w:val="single" w:color="000000" w:sz="4" w:space="0"/>
              <w:bottom w:val="single" w:color="000000" w:sz="4" w:space="0"/>
              <w:right w:val="single" w:color="000000" w:sz="4" w:space="0"/>
            </w:tcBorders>
            <w:shd w:val="clear" w:color="auto" w:fill="auto"/>
            <w:vAlign w:val="center"/>
          </w:tcPr>
          <w:p w14:paraId="00000245">
            <w:pPr>
              <w:rPr>
                <w:rFonts w:ascii="Calibri" w:hAnsi="Calibri" w:eastAsia="Calibri" w:cs="Calibri"/>
                <w:b/>
                <w:sz w:val="18"/>
                <w:szCs w:val="18"/>
              </w:rPr>
            </w:pPr>
            <w:r>
              <w:rPr>
                <w:rFonts w:ascii="Calibri" w:hAnsi="Calibri" w:eastAsia="Calibri" w:cs="Calibri"/>
                <w:b/>
                <w:sz w:val="18"/>
                <w:szCs w:val="18"/>
                <w:rtl w:val="0"/>
              </w:rPr>
              <w:t xml:space="preserve"> €      11.000</w:t>
            </w:r>
          </w:p>
        </w:tc>
      </w:tr>
      <w:tr w14:paraId="0B79B7D3">
        <w:tblPrEx>
          <w:tblCellMar>
            <w:top w:w="0" w:type="dxa"/>
            <w:left w:w="108" w:type="dxa"/>
            <w:bottom w:w="0" w:type="dxa"/>
            <w:right w:w="108" w:type="dxa"/>
          </w:tblCellMar>
        </w:tblPrEx>
        <w:trPr>
          <w:trHeight w:val="288" w:hRule="atLeast"/>
        </w:trPr>
        <w:tc>
          <w:tcPr>
            <w:gridSpan w:val="3"/>
            <w:tcBorders>
              <w:top w:val="single" w:color="000000" w:sz="4" w:space="0"/>
              <w:left w:val="single" w:color="000000" w:sz="8" w:space="0"/>
              <w:bottom w:val="single" w:color="000000" w:sz="4" w:space="0"/>
              <w:right w:val="single" w:color="000000" w:sz="4" w:space="0"/>
            </w:tcBorders>
            <w:shd w:val="clear" w:color="auto" w:fill="FFFF00"/>
            <w:vAlign w:val="center"/>
          </w:tcPr>
          <w:p w14:paraId="00000246">
            <w:pPr>
              <w:rPr>
                <w:rFonts w:ascii="Calibri" w:hAnsi="Calibri" w:eastAsia="Calibri" w:cs="Calibri"/>
                <w:b/>
                <w:sz w:val="18"/>
                <w:szCs w:val="18"/>
              </w:rPr>
            </w:pPr>
            <w:r>
              <w:rPr>
                <w:rFonts w:ascii="Calibri" w:hAnsi="Calibri" w:eastAsia="Calibri" w:cs="Calibri"/>
                <w:b/>
                <w:sz w:val="18"/>
                <w:szCs w:val="18"/>
                <w:rtl w:val="0"/>
              </w:rPr>
              <w:t>Totaal inkomsten + reservefonds</w:t>
            </w:r>
          </w:p>
        </w:tc>
        <w:tc>
          <w:tcPr>
            <w:tcBorders>
              <w:top w:val="nil"/>
              <w:left w:val="nil"/>
              <w:bottom w:val="single" w:color="000000" w:sz="4" w:space="0"/>
              <w:right w:val="single" w:color="000000" w:sz="4" w:space="0"/>
            </w:tcBorders>
            <w:shd w:val="clear" w:color="auto" w:fill="FFFF00"/>
            <w:vAlign w:val="center"/>
          </w:tcPr>
          <w:p w14:paraId="00000249">
            <w:pPr>
              <w:rPr>
                <w:rFonts w:ascii="Calibri" w:hAnsi="Calibri" w:eastAsia="Calibri" w:cs="Calibri"/>
                <w:b/>
                <w:sz w:val="18"/>
                <w:szCs w:val="18"/>
              </w:rPr>
            </w:pPr>
            <w:r>
              <w:rPr>
                <w:rFonts w:ascii="Calibri" w:hAnsi="Calibri" w:eastAsia="Calibri" w:cs="Calibri"/>
                <w:b/>
                <w:sz w:val="18"/>
                <w:szCs w:val="18"/>
                <w:rtl w:val="0"/>
              </w:rPr>
              <w:t xml:space="preserve"> €      27.470</w:t>
            </w:r>
          </w:p>
        </w:tc>
      </w:tr>
      <w:tr w14:paraId="1BD097DC">
        <w:tblPrEx>
          <w:tblCellMar>
            <w:top w:w="0" w:type="dxa"/>
            <w:left w:w="108" w:type="dxa"/>
            <w:bottom w:w="0" w:type="dxa"/>
            <w:right w:w="108" w:type="dxa"/>
          </w:tblCellMar>
        </w:tblPrEx>
        <w:trPr>
          <w:trHeight w:val="175" w:hRule="atLeast"/>
        </w:trPr>
        <w:tc>
          <w:tcPr>
            <w:tcBorders>
              <w:top w:val="nil"/>
              <w:left w:val="single" w:color="000000" w:sz="8" w:space="0"/>
              <w:bottom w:val="single" w:color="000000" w:sz="8" w:space="0"/>
              <w:right w:val="nil"/>
            </w:tcBorders>
            <w:shd w:val="clear" w:color="auto" w:fill="FFFFFF"/>
            <w:vAlign w:val="center"/>
          </w:tcPr>
          <w:p w14:paraId="0000024A">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8" w:space="0"/>
              <w:right w:val="nil"/>
            </w:tcBorders>
            <w:shd w:val="clear" w:color="auto" w:fill="FFFFFF"/>
            <w:vAlign w:val="center"/>
          </w:tcPr>
          <w:p w14:paraId="0000024B">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8" w:space="0"/>
              <w:right w:val="nil"/>
            </w:tcBorders>
            <w:shd w:val="clear" w:color="auto" w:fill="FFFFFF"/>
            <w:vAlign w:val="center"/>
          </w:tcPr>
          <w:p w14:paraId="0000024C">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single" w:color="000000" w:sz="4" w:space="0"/>
              <w:bottom w:val="single" w:color="000000" w:sz="4" w:space="0"/>
              <w:right w:val="single" w:color="000000" w:sz="4" w:space="0"/>
            </w:tcBorders>
            <w:shd w:val="clear" w:color="auto" w:fill="auto"/>
            <w:vAlign w:val="center"/>
          </w:tcPr>
          <w:p w14:paraId="0000024D">
            <w:pPr>
              <w:rPr>
                <w:rFonts w:ascii="Calibri" w:hAnsi="Calibri" w:eastAsia="Calibri" w:cs="Calibri"/>
                <w:b/>
                <w:sz w:val="18"/>
                <w:szCs w:val="18"/>
              </w:rPr>
            </w:pPr>
            <w:r>
              <w:rPr>
                <w:rFonts w:ascii="Calibri" w:hAnsi="Calibri" w:eastAsia="Calibri" w:cs="Calibri"/>
                <w:b/>
                <w:sz w:val="18"/>
                <w:szCs w:val="18"/>
                <w:rtl w:val="0"/>
              </w:rPr>
              <w:t> </w:t>
            </w:r>
          </w:p>
        </w:tc>
      </w:tr>
      <w:tr w14:paraId="07EDBED3">
        <w:tblPrEx>
          <w:tblCellMar>
            <w:top w:w="0" w:type="dxa"/>
            <w:left w:w="108" w:type="dxa"/>
            <w:bottom w:w="0" w:type="dxa"/>
            <w:right w:w="108" w:type="dxa"/>
          </w:tblCellMar>
        </w:tblPrEx>
        <w:trPr>
          <w:trHeight w:val="288" w:hRule="atLeast"/>
        </w:trPr>
        <w:tc>
          <w:tcPr>
            <w:vMerge w:val="restart"/>
            <w:tcBorders>
              <w:top w:val="nil"/>
              <w:left w:val="single" w:color="000000" w:sz="8" w:space="0"/>
              <w:bottom w:val="single" w:color="000000" w:sz="8" w:space="0"/>
              <w:right w:val="single" w:color="000000" w:sz="4" w:space="0"/>
            </w:tcBorders>
            <w:shd w:val="clear" w:color="auto" w:fill="FFFFFF"/>
            <w:vAlign w:val="center"/>
          </w:tcPr>
          <w:p w14:paraId="0000024E">
            <w:pPr>
              <w:rPr>
                <w:rFonts w:ascii="Calibri" w:hAnsi="Calibri" w:eastAsia="Calibri" w:cs="Calibri"/>
                <w:b/>
                <w:sz w:val="18"/>
                <w:szCs w:val="18"/>
              </w:rPr>
            </w:pPr>
            <w:r>
              <w:rPr>
                <w:rFonts w:ascii="Calibri" w:hAnsi="Calibri" w:eastAsia="Calibri" w:cs="Calibri"/>
                <w:b/>
                <w:sz w:val="18"/>
                <w:szCs w:val="18"/>
                <w:rtl w:val="0"/>
              </w:rPr>
              <w:t>Uitgaven</w:t>
            </w:r>
          </w:p>
        </w:tc>
        <w:tc>
          <w:tcPr>
            <w:tcBorders>
              <w:top w:val="nil"/>
              <w:left w:val="nil"/>
              <w:bottom w:val="single" w:color="000000" w:sz="4" w:space="0"/>
              <w:right w:val="single" w:color="000000" w:sz="4" w:space="0"/>
            </w:tcBorders>
            <w:shd w:val="clear" w:color="auto" w:fill="FFFFFF"/>
            <w:vAlign w:val="center"/>
          </w:tcPr>
          <w:p w14:paraId="0000024F">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nil"/>
            </w:tcBorders>
            <w:shd w:val="clear" w:color="auto" w:fill="FFFFFF"/>
            <w:vAlign w:val="center"/>
          </w:tcPr>
          <w:p w14:paraId="00000250">
            <w:pPr>
              <w:rPr>
                <w:rFonts w:ascii="Calibri" w:hAnsi="Calibri" w:eastAsia="Calibri" w:cs="Calibri"/>
                <w:b/>
                <w:sz w:val="18"/>
                <w:szCs w:val="18"/>
              </w:rPr>
            </w:pPr>
            <w:r>
              <w:rPr>
                <w:rFonts w:ascii="Calibri" w:hAnsi="Calibri" w:eastAsia="Calibri" w:cs="Calibri"/>
                <w:b/>
                <w:sz w:val="18"/>
                <w:szCs w:val="18"/>
                <w:rtl w:val="0"/>
              </w:rPr>
              <w:t>Item</w:t>
            </w:r>
          </w:p>
        </w:tc>
        <w:tc>
          <w:tcPr>
            <w:tcBorders>
              <w:top w:val="nil"/>
              <w:left w:val="single" w:color="000000" w:sz="4" w:space="0"/>
              <w:bottom w:val="single" w:color="000000" w:sz="4" w:space="0"/>
              <w:right w:val="single" w:color="000000" w:sz="4" w:space="0"/>
            </w:tcBorders>
            <w:shd w:val="clear" w:color="auto" w:fill="auto"/>
            <w:vAlign w:val="center"/>
          </w:tcPr>
          <w:p w14:paraId="00000251">
            <w:pPr>
              <w:rPr>
                <w:rFonts w:ascii="Calibri" w:hAnsi="Calibri" w:eastAsia="Calibri" w:cs="Calibri"/>
                <w:b/>
                <w:sz w:val="18"/>
                <w:szCs w:val="18"/>
              </w:rPr>
            </w:pPr>
            <w:r>
              <w:rPr>
                <w:rFonts w:ascii="Calibri" w:hAnsi="Calibri" w:eastAsia="Calibri" w:cs="Calibri"/>
                <w:b/>
                <w:sz w:val="18"/>
                <w:szCs w:val="18"/>
                <w:rtl w:val="0"/>
              </w:rPr>
              <w:t> </w:t>
            </w:r>
          </w:p>
        </w:tc>
      </w:tr>
      <w:tr w14:paraId="550D9E0A">
        <w:tblPrEx>
          <w:tblCellMar>
            <w:top w:w="0" w:type="dxa"/>
            <w:left w:w="108" w:type="dxa"/>
            <w:bottom w:w="0" w:type="dxa"/>
            <w:right w:w="108"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52">
            <w:pPr>
              <w:widowControl w:val="0"/>
              <w:spacing w:line="276" w:lineRule="auto"/>
              <w:rPr>
                <w:rFonts w:ascii="Calibri" w:hAnsi="Calibri" w:eastAsia="Calibri" w:cs="Calibri"/>
                <w:b/>
                <w:sz w:val="18"/>
                <w:szCs w:val="18"/>
              </w:rPr>
            </w:pPr>
          </w:p>
        </w:tc>
        <w:tc>
          <w:tcPr>
            <w:tcBorders>
              <w:top w:val="nil"/>
              <w:left w:val="nil"/>
              <w:bottom w:val="nil"/>
              <w:right w:val="single" w:color="000000" w:sz="4" w:space="0"/>
            </w:tcBorders>
            <w:shd w:val="clear" w:color="auto" w:fill="FFFFFF"/>
            <w:vAlign w:val="center"/>
          </w:tcPr>
          <w:p w14:paraId="00000253">
            <w:pPr>
              <w:rPr>
                <w:rFonts w:ascii="Calibri" w:hAnsi="Calibri" w:eastAsia="Calibri" w:cs="Calibri"/>
                <w:b/>
                <w:sz w:val="18"/>
                <w:szCs w:val="18"/>
              </w:rPr>
            </w:pPr>
            <w:r>
              <w:rPr>
                <w:rFonts w:ascii="Calibri" w:hAnsi="Calibri" w:eastAsia="Calibri" w:cs="Calibri"/>
                <w:b/>
                <w:sz w:val="18"/>
                <w:szCs w:val="18"/>
                <w:rtl w:val="0"/>
              </w:rPr>
              <w:t>Onderwijs coördinator</w:t>
            </w:r>
          </w:p>
        </w:tc>
        <w:tc>
          <w:tcPr>
            <w:tcBorders>
              <w:top w:val="nil"/>
              <w:left w:val="nil"/>
              <w:bottom w:val="single" w:color="000000" w:sz="4" w:space="0"/>
              <w:right w:val="nil"/>
            </w:tcBorders>
            <w:shd w:val="clear" w:color="auto" w:fill="FFFFFF"/>
            <w:vAlign w:val="center"/>
          </w:tcPr>
          <w:p w14:paraId="00000254">
            <w:pPr>
              <w:rPr>
                <w:rFonts w:ascii="Calibri" w:hAnsi="Calibri" w:eastAsia="Calibri" w:cs="Calibri"/>
                <w:b/>
                <w:sz w:val="18"/>
                <w:szCs w:val="18"/>
              </w:rPr>
            </w:pPr>
            <w:r>
              <w:rPr>
                <w:rFonts w:ascii="Calibri" w:hAnsi="Calibri" w:eastAsia="Calibri" w:cs="Calibri"/>
                <w:b/>
                <w:sz w:val="18"/>
                <w:szCs w:val="18"/>
                <w:rtl w:val="0"/>
              </w:rPr>
              <w:t>vergoeding leerkracht</w:t>
            </w:r>
          </w:p>
        </w:tc>
        <w:tc>
          <w:tcPr>
            <w:tcBorders>
              <w:top w:val="nil"/>
              <w:left w:val="single" w:color="000000" w:sz="4" w:space="0"/>
              <w:bottom w:val="single" w:color="000000" w:sz="4" w:space="0"/>
              <w:right w:val="single" w:color="000000" w:sz="4" w:space="0"/>
            </w:tcBorders>
            <w:shd w:val="clear" w:color="auto" w:fill="auto"/>
            <w:vAlign w:val="center"/>
          </w:tcPr>
          <w:p w14:paraId="00000255">
            <w:pPr>
              <w:rPr>
                <w:rFonts w:ascii="Calibri" w:hAnsi="Calibri" w:eastAsia="Calibri" w:cs="Calibri"/>
                <w:b/>
                <w:sz w:val="18"/>
                <w:szCs w:val="18"/>
              </w:rPr>
            </w:pPr>
            <w:r>
              <w:rPr>
                <w:rFonts w:ascii="Calibri" w:hAnsi="Calibri" w:eastAsia="Calibri" w:cs="Calibri"/>
                <w:b/>
                <w:sz w:val="18"/>
                <w:szCs w:val="18"/>
                <w:rtl w:val="0"/>
              </w:rPr>
              <w:t xml:space="preserve"> € 12.000</w:t>
            </w:r>
          </w:p>
        </w:tc>
      </w:tr>
      <w:tr w14:paraId="0AF14EF0">
        <w:tblPrEx>
          <w:tblCellMar>
            <w:top w:w="0" w:type="dxa"/>
            <w:left w:w="108" w:type="dxa"/>
            <w:bottom w:w="0" w:type="dxa"/>
            <w:right w:w="108" w:type="dxa"/>
          </w:tblCellMar>
        </w:tblPrEx>
        <w:trPr>
          <w:trHeight w:val="576"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56">
            <w:pPr>
              <w:widowControl w:val="0"/>
              <w:spacing w:line="276" w:lineRule="auto"/>
              <w:rPr>
                <w:rFonts w:ascii="Calibri" w:hAnsi="Calibri" w:eastAsia="Calibri" w:cs="Calibri"/>
                <w:b/>
                <w:sz w:val="18"/>
                <w:szCs w:val="18"/>
              </w:rPr>
            </w:pPr>
          </w:p>
        </w:tc>
        <w:tc>
          <w:tcPr>
            <w:tcBorders>
              <w:top w:val="single" w:color="000000" w:sz="4" w:space="0"/>
              <w:left w:val="nil"/>
              <w:bottom w:val="nil"/>
              <w:right w:val="single" w:color="000000" w:sz="4" w:space="0"/>
            </w:tcBorders>
            <w:shd w:val="clear" w:color="auto" w:fill="FFFFFF"/>
            <w:vAlign w:val="center"/>
          </w:tcPr>
          <w:p w14:paraId="00000257">
            <w:pPr>
              <w:rPr>
                <w:rFonts w:ascii="Calibri" w:hAnsi="Calibri" w:eastAsia="Calibri" w:cs="Calibri"/>
                <w:b/>
                <w:sz w:val="18"/>
                <w:szCs w:val="18"/>
              </w:rPr>
            </w:pPr>
            <w:r>
              <w:rPr>
                <w:rFonts w:ascii="Calibri" w:hAnsi="Calibri" w:eastAsia="Calibri" w:cs="Calibri"/>
                <w:b/>
                <w:sz w:val="18"/>
                <w:szCs w:val="18"/>
                <w:rtl w:val="0"/>
              </w:rPr>
              <w:t>Leerkrachten </w:t>
            </w:r>
          </w:p>
        </w:tc>
        <w:tc>
          <w:tcPr>
            <w:tcBorders>
              <w:top w:val="nil"/>
              <w:left w:val="nil"/>
              <w:bottom w:val="single" w:color="000000" w:sz="4" w:space="0"/>
              <w:right w:val="nil"/>
            </w:tcBorders>
            <w:shd w:val="clear" w:color="auto" w:fill="FFFFFF"/>
            <w:vAlign w:val="center"/>
          </w:tcPr>
          <w:p w14:paraId="00000258">
            <w:pPr>
              <w:rPr>
                <w:rFonts w:ascii="Calibri" w:hAnsi="Calibri" w:eastAsia="Calibri" w:cs="Calibri"/>
                <w:b/>
                <w:sz w:val="18"/>
                <w:szCs w:val="18"/>
              </w:rPr>
            </w:pPr>
            <w:r>
              <w:rPr>
                <w:rFonts w:ascii="Calibri" w:hAnsi="Calibri" w:eastAsia="Calibri" w:cs="Calibri"/>
                <w:b/>
                <w:sz w:val="18"/>
                <w:szCs w:val="18"/>
                <w:rtl w:val="0"/>
              </w:rPr>
              <w:t>vergoeding leerkrachten</w:t>
            </w:r>
          </w:p>
        </w:tc>
        <w:tc>
          <w:tcPr>
            <w:tcBorders>
              <w:top w:val="nil"/>
              <w:left w:val="single" w:color="000000" w:sz="4" w:space="0"/>
              <w:bottom w:val="single" w:color="000000" w:sz="4" w:space="0"/>
              <w:right w:val="single" w:color="000000" w:sz="4" w:space="0"/>
            </w:tcBorders>
            <w:shd w:val="clear" w:color="auto" w:fill="auto"/>
            <w:vAlign w:val="center"/>
          </w:tcPr>
          <w:p w14:paraId="00000259">
            <w:pPr>
              <w:rPr>
                <w:rFonts w:ascii="Calibri" w:hAnsi="Calibri" w:eastAsia="Calibri" w:cs="Calibri"/>
                <w:b/>
                <w:sz w:val="18"/>
                <w:szCs w:val="18"/>
              </w:rPr>
            </w:pPr>
            <w:r>
              <w:rPr>
                <w:rFonts w:ascii="Calibri" w:hAnsi="Calibri" w:eastAsia="Calibri" w:cs="Calibri"/>
                <w:b/>
                <w:sz w:val="18"/>
                <w:szCs w:val="18"/>
                <w:rtl w:val="0"/>
              </w:rPr>
              <w:t xml:space="preserve"> € 9.300</w:t>
            </w:r>
          </w:p>
        </w:tc>
      </w:tr>
      <w:tr w14:paraId="01D97B73">
        <w:tblPrEx>
          <w:tblCellMar>
            <w:top w:w="0" w:type="dxa"/>
            <w:left w:w="108" w:type="dxa"/>
            <w:bottom w:w="0" w:type="dxa"/>
            <w:right w:w="108" w:type="dxa"/>
          </w:tblCellMar>
        </w:tblPrEx>
        <w:trPr>
          <w:trHeight w:val="55"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5A">
            <w:pPr>
              <w:widowControl w:val="0"/>
              <w:spacing w:line="276" w:lineRule="auto"/>
              <w:rPr>
                <w:rFonts w:ascii="Calibri" w:hAnsi="Calibri" w:eastAsia="Calibri" w:cs="Calibri"/>
                <w:b/>
                <w:sz w:val="18"/>
                <w:szCs w:val="18"/>
              </w:rPr>
            </w:pPr>
          </w:p>
        </w:tc>
        <w:tc>
          <w:tcPr>
            <w:tcBorders>
              <w:top w:val="single" w:color="000000" w:sz="4" w:space="0"/>
              <w:left w:val="nil"/>
              <w:bottom w:val="single" w:color="000000" w:sz="4" w:space="0"/>
              <w:right w:val="single" w:color="000000" w:sz="4" w:space="0"/>
            </w:tcBorders>
            <w:shd w:val="clear" w:color="auto" w:fill="auto"/>
            <w:vAlign w:val="center"/>
          </w:tcPr>
          <w:p w14:paraId="0000025B">
            <w:pPr>
              <w:rPr>
                <w:rFonts w:ascii="Calibri" w:hAnsi="Calibri" w:eastAsia="Calibri" w:cs="Calibri"/>
                <w:b/>
                <w:sz w:val="18"/>
                <w:szCs w:val="18"/>
              </w:rPr>
            </w:pPr>
            <w:r>
              <w:rPr>
                <w:rFonts w:ascii="Calibri" w:hAnsi="Calibri" w:eastAsia="Calibri" w:cs="Calibri"/>
                <w:b/>
                <w:sz w:val="18"/>
                <w:szCs w:val="18"/>
                <w:rtl w:val="0"/>
              </w:rPr>
              <w:t>Leerkrachten </w:t>
            </w:r>
          </w:p>
        </w:tc>
        <w:tc>
          <w:tcPr>
            <w:tcBorders>
              <w:top w:val="nil"/>
              <w:left w:val="nil"/>
              <w:bottom w:val="single" w:color="000000" w:sz="4" w:space="0"/>
              <w:right w:val="nil"/>
            </w:tcBorders>
            <w:shd w:val="clear" w:color="auto" w:fill="auto"/>
            <w:vAlign w:val="center"/>
          </w:tcPr>
          <w:p w14:paraId="0000025C">
            <w:pPr>
              <w:rPr>
                <w:rFonts w:ascii="Calibri" w:hAnsi="Calibri" w:eastAsia="Calibri" w:cs="Calibri"/>
                <w:b/>
                <w:sz w:val="18"/>
                <w:szCs w:val="18"/>
              </w:rPr>
            </w:pPr>
            <w:r>
              <w:rPr>
                <w:rFonts w:ascii="Calibri" w:hAnsi="Calibri" w:eastAsia="Calibri" w:cs="Calibri"/>
                <w:b/>
                <w:sz w:val="18"/>
                <w:szCs w:val="18"/>
                <w:rtl w:val="0"/>
              </w:rPr>
              <w:t> Onkosten verblijf</w:t>
            </w:r>
          </w:p>
        </w:tc>
        <w:tc>
          <w:tcPr>
            <w:tcBorders>
              <w:top w:val="nil"/>
              <w:left w:val="single" w:color="000000" w:sz="4" w:space="0"/>
              <w:bottom w:val="single" w:color="000000" w:sz="4" w:space="0"/>
              <w:right w:val="single" w:color="000000" w:sz="4" w:space="0"/>
            </w:tcBorders>
            <w:shd w:val="clear" w:color="auto" w:fill="auto"/>
            <w:vAlign w:val="center"/>
          </w:tcPr>
          <w:p w14:paraId="0000025D">
            <w:pPr>
              <w:rPr>
                <w:rFonts w:ascii="Calibri" w:hAnsi="Calibri" w:eastAsia="Calibri" w:cs="Calibri"/>
                <w:b/>
                <w:sz w:val="18"/>
                <w:szCs w:val="18"/>
              </w:rPr>
            </w:pPr>
            <w:r>
              <w:rPr>
                <w:rFonts w:ascii="Calibri" w:hAnsi="Calibri" w:eastAsia="Calibri" w:cs="Calibri"/>
                <w:b/>
                <w:sz w:val="18"/>
                <w:szCs w:val="18"/>
                <w:rtl w:val="0"/>
              </w:rPr>
              <w:t>€ 3.050</w:t>
            </w:r>
          </w:p>
        </w:tc>
      </w:tr>
      <w:tr w14:paraId="6114B632">
        <w:tblPrEx>
          <w:tblCellMar>
            <w:top w:w="0" w:type="dxa"/>
            <w:left w:w="108" w:type="dxa"/>
            <w:bottom w:w="0" w:type="dxa"/>
            <w:right w:w="108" w:type="dxa"/>
          </w:tblCellMar>
        </w:tblPrEx>
        <w:trPr>
          <w:trHeight w:val="576"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5E">
            <w:pPr>
              <w:widowControl w:val="0"/>
              <w:spacing w:line="276" w:lineRule="auto"/>
              <w:rPr>
                <w:rFonts w:ascii="Calibri" w:hAnsi="Calibri" w:eastAsia="Calibri" w:cs="Calibri"/>
                <w:b/>
                <w:sz w:val="18"/>
                <w:szCs w:val="18"/>
              </w:rPr>
            </w:pPr>
          </w:p>
        </w:tc>
        <w:tc>
          <w:tcPr>
            <w:tcBorders>
              <w:top w:val="nil"/>
              <w:left w:val="nil"/>
              <w:bottom w:val="nil"/>
              <w:right w:val="single" w:color="000000" w:sz="4" w:space="0"/>
            </w:tcBorders>
            <w:shd w:val="clear" w:color="auto" w:fill="FFFFFF"/>
            <w:vAlign w:val="center"/>
          </w:tcPr>
          <w:p w14:paraId="0000025F">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260">
            <w:pPr>
              <w:rPr>
                <w:rFonts w:ascii="Calibri" w:hAnsi="Calibri" w:eastAsia="Calibri" w:cs="Calibri"/>
                <w:b/>
                <w:sz w:val="18"/>
                <w:szCs w:val="18"/>
              </w:rPr>
            </w:pPr>
            <w:r>
              <w:rPr>
                <w:rFonts w:ascii="Calibri" w:hAnsi="Calibri" w:eastAsia="Calibri" w:cs="Calibri"/>
                <w:b/>
                <w:sz w:val="18"/>
                <w:szCs w:val="18"/>
                <w:rtl w:val="0"/>
              </w:rPr>
              <w:t>Les boeken - online licenties - toetsen</w:t>
            </w:r>
          </w:p>
        </w:tc>
        <w:tc>
          <w:tcPr>
            <w:tcBorders>
              <w:top w:val="nil"/>
              <w:left w:val="nil"/>
              <w:bottom w:val="single" w:color="000000" w:sz="4" w:space="0"/>
              <w:right w:val="single" w:color="000000" w:sz="4" w:space="0"/>
            </w:tcBorders>
            <w:shd w:val="clear" w:color="auto" w:fill="auto"/>
            <w:vAlign w:val="center"/>
          </w:tcPr>
          <w:p w14:paraId="00000261">
            <w:pPr>
              <w:rPr>
                <w:rFonts w:ascii="Calibri" w:hAnsi="Calibri" w:eastAsia="Calibri" w:cs="Calibri"/>
                <w:b/>
                <w:sz w:val="18"/>
                <w:szCs w:val="18"/>
              </w:rPr>
            </w:pPr>
            <w:r>
              <w:rPr>
                <w:rFonts w:ascii="Calibri" w:hAnsi="Calibri" w:eastAsia="Calibri" w:cs="Calibri"/>
                <w:b/>
                <w:sz w:val="18"/>
                <w:szCs w:val="18"/>
                <w:rtl w:val="0"/>
              </w:rPr>
              <w:t xml:space="preserve"> € 1.080</w:t>
            </w:r>
          </w:p>
        </w:tc>
      </w:tr>
      <w:tr w14:paraId="20C69B73">
        <w:tblPrEx>
          <w:tblCellMar>
            <w:top w:w="0" w:type="dxa"/>
            <w:left w:w="108" w:type="dxa"/>
            <w:bottom w:w="0" w:type="dxa"/>
            <w:right w:w="108"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62">
            <w:pPr>
              <w:widowControl w:val="0"/>
              <w:spacing w:line="276" w:lineRule="auto"/>
              <w:rPr>
                <w:rFonts w:ascii="Calibri" w:hAnsi="Calibri" w:eastAsia="Calibri" w:cs="Calibri"/>
                <w:b/>
                <w:sz w:val="18"/>
                <w:szCs w:val="18"/>
              </w:rPr>
            </w:pPr>
          </w:p>
        </w:tc>
        <w:tc>
          <w:tcPr>
            <w:tcBorders>
              <w:top w:val="nil"/>
              <w:left w:val="nil"/>
              <w:bottom w:val="nil"/>
              <w:right w:val="single" w:color="000000" w:sz="4" w:space="0"/>
            </w:tcBorders>
            <w:shd w:val="clear" w:color="auto" w:fill="FFFFFF"/>
            <w:vAlign w:val="center"/>
          </w:tcPr>
          <w:p w14:paraId="00000263">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264">
            <w:pPr>
              <w:rPr>
                <w:rFonts w:ascii="Calibri" w:hAnsi="Calibri" w:eastAsia="Calibri" w:cs="Calibri"/>
                <w:b/>
                <w:sz w:val="18"/>
                <w:szCs w:val="18"/>
              </w:rPr>
            </w:pPr>
            <w:r>
              <w:rPr>
                <w:rFonts w:ascii="Calibri" w:hAnsi="Calibri" w:eastAsia="Calibri" w:cs="Calibri"/>
                <w:b/>
                <w:sz w:val="18"/>
                <w:szCs w:val="18"/>
                <w:rtl w:val="0"/>
              </w:rPr>
              <w:t>Locatie kosten</w:t>
            </w:r>
          </w:p>
        </w:tc>
        <w:tc>
          <w:tcPr>
            <w:tcBorders>
              <w:top w:val="nil"/>
              <w:left w:val="nil"/>
              <w:bottom w:val="single" w:color="000000" w:sz="4" w:space="0"/>
              <w:right w:val="single" w:color="000000" w:sz="4" w:space="0"/>
            </w:tcBorders>
            <w:shd w:val="clear" w:color="auto" w:fill="auto"/>
            <w:vAlign w:val="center"/>
          </w:tcPr>
          <w:p w14:paraId="00000265">
            <w:pPr>
              <w:rPr>
                <w:rFonts w:ascii="Calibri" w:hAnsi="Calibri" w:eastAsia="Calibri" w:cs="Calibri"/>
                <w:b/>
                <w:sz w:val="18"/>
                <w:szCs w:val="18"/>
              </w:rPr>
            </w:pPr>
            <w:r>
              <w:rPr>
                <w:rFonts w:ascii="Calibri" w:hAnsi="Calibri" w:eastAsia="Calibri" w:cs="Calibri"/>
                <w:b/>
                <w:sz w:val="18"/>
                <w:szCs w:val="18"/>
                <w:rtl w:val="0"/>
              </w:rPr>
              <w:t xml:space="preserve"> €  1.000</w:t>
            </w:r>
          </w:p>
        </w:tc>
      </w:tr>
      <w:tr w14:paraId="1BBAA22D">
        <w:tblPrEx>
          <w:tblCellMar>
            <w:top w:w="0" w:type="dxa"/>
            <w:left w:w="108" w:type="dxa"/>
            <w:bottom w:w="0" w:type="dxa"/>
            <w:right w:w="108" w:type="dxa"/>
          </w:tblCellMar>
        </w:tblPrEx>
        <w:trPr>
          <w:trHeight w:val="288"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66">
            <w:pPr>
              <w:widowControl w:val="0"/>
              <w:spacing w:line="276" w:lineRule="auto"/>
              <w:rPr>
                <w:rFonts w:ascii="Calibri" w:hAnsi="Calibri" w:eastAsia="Calibri" w:cs="Calibri"/>
                <w:b/>
                <w:sz w:val="18"/>
                <w:szCs w:val="18"/>
              </w:rPr>
            </w:pPr>
          </w:p>
        </w:tc>
        <w:tc>
          <w:tcPr>
            <w:tcBorders>
              <w:top w:val="nil"/>
              <w:left w:val="nil"/>
              <w:bottom w:val="nil"/>
              <w:right w:val="single" w:color="000000" w:sz="4" w:space="0"/>
            </w:tcBorders>
            <w:shd w:val="clear" w:color="auto" w:fill="FFFFFF"/>
            <w:vAlign w:val="center"/>
          </w:tcPr>
          <w:p w14:paraId="00000267">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4" w:space="0"/>
              <w:right w:val="single" w:color="000000" w:sz="4" w:space="0"/>
            </w:tcBorders>
            <w:shd w:val="clear" w:color="auto" w:fill="FFFFFF"/>
            <w:vAlign w:val="center"/>
          </w:tcPr>
          <w:p w14:paraId="00000268">
            <w:pPr>
              <w:rPr>
                <w:rFonts w:ascii="Calibri" w:hAnsi="Calibri" w:eastAsia="Calibri" w:cs="Calibri"/>
                <w:b/>
                <w:sz w:val="18"/>
                <w:szCs w:val="18"/>
              </w:rPr>
            </w:pPr>
            <w:r>
              <w:rPr>
                <w:rFonts w:ascii="Calibri" w:hAnsi="Calibri" w:eastAsia="Calibri" w:cs="Calibri"/>
                <w:b/>
                <w:sz w:val="18"/>
                <w:szCs w:val="18"/>
                <w:rtl w:val="0"/>
              </w:rPr>
              <w:t>Materiaal - overig</w:t>
            </w:r>
          </w:p>
        </w:tc>
        <w:tc>
          <w:tcPr>
            <w:tcBorders>
              <w:top w:val="nil"/>
              <w:left w:val="nil"/>
              <w:bottom w:val="single" w:color="000000" w:sz="4" w:space="0"/>
              <w:right w:val="single" w:color="000000" w:sz="4" w:space="0"/>
            </w:tcBorders>
            <w:shd w:val="clear" w:color="auto" w:fill="auto"/>
            <w:vAlign w:val="center"/>
          </w:tcPr>
          <w:p w14:paraId="00000269">
            <w:pPr>
              <w:rPr>
                <w:rFonts w:ascii="Calibri" w:hAnsi="Calibri" w:eastAsia="Calibri" w:cs="Calibri"/>
                <w:b/>
                <w:sz w:val="18"/>
                <w:szCs w:val="18"/>
              </w:rPr>
            </w:pPr>
            <w:r>
              <w:rPr>
                <w:rFonts w:ascii="Calibri" w:hAnsi="Calibri" w:eastAsia="Calibri" w:cs="Calibri"/>
                <w:b/>
                <w:sz w:val="18"/>
                <w:szCs w:val="18"/>
                <w:rtl w:val="0"/>
              </w:rPr>
              <w:t xml:space="preserve"> €  500</w:t>
            </w:r>
          </w:p>
        </w:tc>
      </w:tr>
      <w:tr w14:paraId="4C4720DD">
        <w:tblPrEx>
          <w:tblCellMar>
            <w:top w:w="0" w:type="dxa"/>
            <w:left w:w="108" w:type="dxa"/>
            <w:bottom w:w="0" w:type="dxa"/>
            <w:right w:w="108" w:type="dxa"/>
          </w:tblCellMar>
        </w:tblPrEx>
        <w:trPr>
          <w:trHeight w:val="300" w:hRule="atLeast"/>
        </w:trPr>
        <w:tc>
          <w:tcPr>
            <w:vMerge w:val="continue"/>
            <w:tcBorders>
              <w:top w:val="nil"/>
              <w:left w:val="single" w:color="000000" w:sz="8" w:space="0"/>
              <w:bottom w:val="single" w:color="000000" w:sz="8" w:space="0"/>
              <w:right w:val="single" w:color="000000" w:sz="4" w:space="0"/>
            </w:tcBorders>
            <w:shd w:val="clear" w:color="auto" w:fill="FFFFFF"/>
            <w:vAlign w:val="center"/>
          </w:tcPr>
          <w:p w14:paraId="0000026A">
            <w:pPr>
              <w:widowControl w:val="0"/>
              <w:spacing w:line="276" w:lineRule="auto"/>
              <w:rPr>
                <w:rFonts w:ascii="Calibri" w:hAnsi="Calibri" w:eastAsia="Calibri" w:cs="Calibri"/>
                <w:b/>
                <w:sz w:val="18"/>
                <w:szCs w:val="18"/>
              </w:rPr>
            </w:pPr>
          </w:p>
        </w:tc>
        <w:tc>
          <w:tcPr>
            <w:tcBorders>
              <w:top w:val="nil"/>
              <w:left w:val="nil"/>
              <w:bottom w:val="single" w:color="000000" w:sz="8" w:space="0"/>
              <w:right w:val="single" w:color="000000" w:sz="4" w:space="0"/>
            </w:tcBorders>
            <w:shd w:val="clear" w:color="auto" w:fill="FFFFFF"/>
            <w:vAlign w:val="center"/>
          </w:tcPr>
          <w:p w14:paraId="0000026B">
            <w:pPr>
              <w:rPr>
                <w:rFonts w:ascii="Calibri" w:hAnsi="Calibri" w:eastAsia="Calibri" w:cs="Calibri"/>
                <w:b/>
                <w:sz w:val="18"/>
                <w:szCs w:val="18"/>
              </w:rPr>
            </w:pPr>
            <w:r>
              <w:rPr>
                <w:rFonts w:ascii="Calibri" w:hAnsi="Calibri" w:eastAsia="Calibri" w:cs="Calibri"/>
                <w:b/>
                <w:sz w:val="18"/>
                <w:szCs w:val="18"/>
                <w:rtl w:val="0"/>
              </w:rPr>
              <w:t> </w:t>
            </w:r>
          </w:p>
        </w:tc>
        <w:tc>
          <w:tcPr>
            <w:tcBorders>
              <w:top w:val="nil"/>
              <w:left w:val="nil"/>
              <w:bottom w:val="single" w:color="000000" w:sz="8" w:space="0"/>
              <w:right w:val="nil"/>
            </w:tcBorders>
            <w:shd w:val="clear" w:color="auto" w:fill="FFFFFF"/>
            <w:vAlign w:val="center"/>
          </w:tcPr>
          <w:p w14:paraId="0000026C">
            <w:pPr>
              <w:rPr>
                <w:rFonts w:ascii="Calibri" w:hAnsi="Calibri" w:eastAsia="Calibri" w:cs="Calibri"/>
                <w:b/>
                <w:sz w:val="18"/>
                <w:szCs w:val="18"/>
              </w:rPr>
            </w:pPr>
            <w:r>
              <w:rPr>
                <w:rFonts w:ascii="Calibri" w:hAnsi="Calibri" w:eastAsia="Calibri" w:cs="Calibri"/>
                <w:b/>
                <w:sz w:val="18"/>
                <w:szCs w:val="18"/>
                <w:rtl w:val="0"/>
              </w:rPr>
              <w:t>Bankkosten ABN</w:t>
            </w:r>
          </w:p>
        </w:tc>
        <w:tc>
          <w:tcPr>
            <w:tcBorders>
              <w:top w:val="nil"/>
              <w:left w:val="single" w:color="000000" w:sz="4" w:space="0"/>
              <w:bottom w:val="single" w:color="000000" w:sz="4" w:space="0"/>
              <w:right w:val="single" w:color="000000" w:sz="4" w:space="0"/>
            </w:tcBorders>
            <w:shd w:val="clear" w:color="auto" w:fill="auto"/>
            <w:vAlign w:val="center"/>
          </w:tcPr>
          <w:p w14:paraId="0000026D">
            <w:pPr>
              <w:rPr>
                <w:rFonts w:ascii="Calibri" w:hAnsi="Calibri" w:eastAsia="Calibri" w:cs="Calibri"/>
                <w:b/>
                <w:sz w:val="18"/>
                <w:szCs w:val="18"/>
              </w:rPr>
            </w:pPr>
            <w:r>
              <w:rPr>
                <w:rFonts w:ascii="Calibri" w:hAnsi="Calibri" w:eastAsia="Calibri" w:cs="Calibri"/>
                <w:b/>
                <w:sz w:val="18"/>
                <w:szCs w:val="18"/>
                <w:rtl w:val="0"/>
              </w:rPr>
              <w:t xml:space="preserve"> €  230</w:t>
            </w:r>
          </w:p>
        </w:tc>
      </w:tr>
      <w:tr w14:paraId="16ACD407">
        <w:tblPrEx>
          <w:tblCellMar>
            <w:top w:w="0" w:type="dxa"/>
            <w:left w:w="108" w:type="dxa"/>
            <w:bottom w:w="0" w:type="dxa"/>
            <w:right w:w="108" w:type="dxa"/>
          </w:tblCellMar>
        </w:tblPrEx>
        <w:trPr>
          <w:trHeight w:val="300" w:hRule="atLeast"/>
        </w:trPr>
        <w:tc>
          <w:tcPr>
            <w:gridSpan w:val="3"/>
            <w:tcBorders>
              <w:top w:val="single" w:color="000000" w:sz="8" w:space="0"/>
              <w:left w:val="single" w:color="000000" w:sz="8" w:space="0"/>
              <w:bottom w:val="single" w:color="000000" w:sz="4" w:space="0"/>
              <w:right w:val="single" w:color="000000" w:sz="4" w:space="0"/>
            </w:tcBorders>
            <w:shd w:val="clear" w:color="auto" w:fill="F4B084"/>
            <w:vAlign w:val="center"/>
          </w:tcPr>
          <w:p w14:paraId="0000026E">
            <w:pPr>
              <w:rPr>
                <w:rFonts w:ascii="Calibri" w:hAnsi="Calibri" w:eastAsia="Calibri" w:cs="Calibri"/>
                <w:b/>
                <w:sz w:val="18"/>
                <w:szCs w:val="18"/>
              </w:rPr>
            </w:pPr>
            <w:r>
              <w:rPr>
                <w:rFonts w:ascii="Calibri" w:hAnsi="Calibri" w:eastAsia="Calibri" w:cs="Calibri"/>
                <w:b/>
                <w:sz w:val="18"/>
                <w:szCs w:val="18"/>
                <w:rtl w:val="0"/>
              </w:rPr>
              <w:t xml:space="preserve"> Totaal uitgaven </w:t>
            </w:r>
          </w:p>
        </w:tc>
        <w:tc>
          <w:tcPr>
            <w:tcBorders>
              <w:top w:val="nil"/>
              <w:left w:val="nil"/>
              <w:bottom w:val="single" w:color="000000" w:sz="4" w:space="0"/>
              <w:right w:val="single" w:color="000000" w:sz="4" w:space="0"/>
            </w:tcBorders>
            <w:shd w:val="clear" w:color="auto" w:fill="F4B084"/>
            <w:vAlign w:val="center"/>
          </w:tcPr>
          <w:p w14:paraId="00000271">
            <w:pPr>
              <w:rPr>
                <w:rFonts w:ascii="Calibri" w:hAnsi="Calibri" w:eastAsia="Calibri" w:cs="Calibri"/>
                <w:b/>
                <w:sz w:val="18"/>
                <w:szCs w:val="18"/>
              </w:rPr>
            </w:pPr>
            <w:r>
              <w:rPr>
                <w:rFonts w:ascii="Calibri" w:hAnsi="Calibri" w:eastAsia="Calibri" w:cs="Calibri"/>
                <w:b/>
                <w:sz w:val="18"/>
                <w:szCs w:val="18"/>
                <w:rtl w:val="0"/>
              </w:rPr>
              <w:t xml:space="preserve"> € 27.160</w:t>
            </w:r>
          </w:p>
        </w:tc>
      </w:tr>
    </w:tbl>
    <w:p w14:paraId="00000272">
      <w:pPr>
        <w:widowControl w:val="0"/>
        <w:ind w:left="163" w:firstLine="0"/>
        <w:rPr>
          <w:b/>
          <w:sz w:val="18"/>
          <w:szCs w:val="18"/>
          <w:u w:val="single"/>
        </w:rPr>
      </w:pPr>
    </w:p>
    <w:p w14:paraId="00000273">
      <w:pPr>
        <w:widowControl w:val="0"/>
        <w:pBdr>
          <w:top w:val="none" w:color="auto" w:sz="0" w:space="0"/>
          <w:left w:val="none" w:color="auto" w:sz="0" w:space="0"/>
          <w:bottom w:val="none" w:color="auto" w:sz="0" w:space="0"/>
          <w:right w:val="none" w:color="auto" w:sz="0" w:space="0"/>
          <w:between w:val="none" w:color="auto" w:sz="0" w:space="0"/>
        </w:pBdr>
        <w:ind w:left="163" w:firstLine="0"/>
        <w:rPr>
          <w:b/>
          <w:color w:val="FF0000"/>
          <w:sz w:val="18"/>
          <w:szCs w:val="18"/>
          <w:u w:val="single"/>
        </w:rPr>
      </w:pPr>
      <w:bookmarkStart w:id="4" w:name="_heading=h.1bzxld34ql3x" w:colFirst="0" w:colLast="0"/>
      <w:bookmarkEnd w:id="4"/>
    </w:p>
    <w:p w14:paraId="00000274">
      <w:pPr>
        <w:widowControl w:val="0"/>
        <w:pBdr>
          <w:top w:val="none" w:color="auto" w:sz="0" w:space="0"/>
          <w:left w:val="none" w:color="auto" w:sz="0" w:space="0"/>
          <w:bottom w:val="none" w:color="auto" w:sz="0" w:space="0"/>
          <w:right w:val="none" w:color="auto" w:sz="0" w:space="0"/>
          <w:between w:val="none" w:color="auto" w:sz="0" w:space="0"/>
        </w:pBdr>
        <w:ind w:left="163" w:firstLine="0"/>
        <w:rPr>
          <w:b/>
          <w:color w:val="FF0000"/>
          <w:sz w:val="18"/>
          <w:szCs w:val="18"/>
          <w:u w:val="single"/>
        </w:rPr>
      </w:pPr>
    </w:p>
    <w:p w14:paraId="00000275">
      <w:pPr>
        <w:widowControl w:val="0"/>
        <w:pBdr>
          <w:top w:val="none" w:color="auto" w:sz="0" w:space="0"/>
          <w:left w:val="none" w:color="auto" w:sz="0" w:space="0"/>
          <w:bottom w:val="none" w:color="auto" w:sz="0" w:space="0"/>
          <w:right w:val="none" w:color="auto" w:sz="0" w:space="0"/>
          <w:between w:val="none" w:color="auto" w:sz="0" w:space="0"/>
        </w:pBdr>
        <w:spacing w:line="240" w:lineRule="auto"/>
        <w:rPr>
          <w:b/>
          <w:color w:val="000000"/>
          <w:sz w:val="18"/>
          <w:szCs w:val="18"/>
        </w:rPr>
      </w:pPr>
      <w:r>
        <w:rPr>
          <w:b/>
          <w:color w:val="000000"/>
          <w:sz w:val="18"/>
          <w:szCs w:val="18"/>
          <w:u w:val="single"/>
          <w:rtl w:val="0"/>
        </w:rPr>
        <w:t>Bijlage 6</w:t>
      </w:r>
      <w:r>
        <w:rPr>
          <w:b/>
          <w:sz w:val="18"/>
          <w:szCs w:val="18"/>
          <w:u w:val="single"/>
          <w:rtl w:val="0"/>
        </w:rPr>
        <w:t xml:space="preserve"> </w:t>
      </w:r>
      <w:r>
        <w:rPr>
          <w:b/>
          <w:color w:val="000000"/>
          <w:sz w:val="18"/>
          <w:szCs w:val="18"/>
          <w:u w:val="single"/>
          <w:rtl w:val="0"/>
        </w:rPr>
        <w:t xml:space="preserve"> Tips voor ouders</w:t>
      </w:r>
      <w:r>
        <w:rPr>
          <w:b/>
          <w:color w:val="000000"/>
          <w:sz w:val="18"/>
          <w:szCs w:val="18"/>
          <w:rtl w:val="0"/>
        </w:rPr>
        <w:t xml:space="preserve"> </w:t>
      </w:r>
    </w:p>
    <w:p w14:paraId="00000276">
      <w:pPr>
        <w:widowControl w:val="0"/>
        <w:pBdr>
          <w:top w:val="none" w:color="auto" w:sz="0" w:space="0"/>
          <w:left w:val="none" w:color="auto" w:sz="0" w:space="0"/>
          <w:bottom w:val="none" w:color="auto" w:sz="0" w:space="0"/>
          <w:right w:val="none" w:color="auto" w:sz="0" w:space="0"/>
          <w:between w:val="none" w:color="auto" w:sz="0" w:space="0"/>
        </w:pBdr>
        <w:spacing w:before="283" w:line="245" w:lineRule="auto"/>
        <w:ind w:left="886" w:right="81" w:hanging="369"/>
        <w:rPr>
          <w:i/>
          <w:color w:val="000000"/>
          <w:sz w:val="18"/>
          <w:szCs w:val="18"/>
        </w:rPr>
      </w:pPr>
      <w:r>
        <w:rPr>
          <w:i/>
          <w:color w:val="000000"/>
          <w:sz w:val="18"/>
          <w:szCs w:val="18"/>
          <w:rtl w:val="0"/>
        </w:rPr>
        <w:t xml:space="preserve">Hier zijn een aantal tips om thuis meer bezig te zijn met de Nederlandse taal: </w:t>
      </w:r>
    </w:p>
    <w:p w14:paraId="00000277">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283" w:after="0" w:line="245" w:lineRule="auto"/>
        <w:ind w:left="1237" w:right="81" w:hanging="360"/>
        <w:jc w:val="left"/>
        <w:rPr>
          <w:rFonts w:ascii="Arial" w:hAnsi="Arial" w:eastAsia="Arial" w:cs="Arial"/>
          <w:b w:val="0"/>
          <w:i/>
          <w:smallCaps w:val="0"/>
          <w:strike w:val="0"/>
          <w:color w:val="000000"/>
          <w:sz w:val="18"/>
          <w:szCs w:val="18"/>
          <w:u w:val="none"/>
          <w:shd w:val="clear" w:fill="auto"/>
          <w:vertAlign w:val="baseline"/>
        </w:rPr>
      </w:pPr>
      <w:r>
        <w:rPr>
          <w:rFonts w:ascii="Arial" w:hAnsi="Arial" w:eastAsia="Arial" w:cs="Arial"/>
          <w:b w:val="0"/>
          <w:i w:val="0"/>
          <w:smallCaps w:val="0"/>
          <w:strike w:val="0"/>
          <w:color w:val="000000"/>
          <w:sz w:val="18"/>
          <w:szCs w:val="18"/>
          <w:u w:val="none"/>
          <w:shd w:val="clear" w:fill="auto"/>
          <w:vertAlign w:val="baseline"/>
          <w:rtl w:val="0"/>
        </w:rPr>
        <w:t xml:space="preserve">Lezen en voorlezen zijn natuurlijk één van de makkelijkste en leukste manieren om met taal bezig te zijn. Laat kinderen  boeken kiezen die aansluiten bij hun belevingswereld. Alle kinderen weten wat hun technisch (AVI) leesniveau is en zo kunnen de kinderen goed een Nederlands boek kiezen op niveau om technisch lezen verder te oefenen. Als u samen met uw kind leest kunt u ook het begrijpend lezen oefenen door na iedere bladzijde een vraag te stellen over inhoud van de gelezen bladzijde. De school beschikt over een bibliotheek en alle ouders kunnen kosteloos van de uitleen van boeken/DVD´s/spelletjes gebruik maken. </w:t>
      </w:r>
    </w:p>
    <w:p w14:paraId="00000278">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1237" w:right="81" w:hanging="360"/>
        <w:jc w:val="left"/>
        <w:rPr>
          <w:rFonts w:ascii="Arial" w:hAnsi="Arial" w:eastAsia="Arial" w:cs="Arial"/>
          <w:b w:val="0"/>
          <w:i/>
          <w:smallCaps w:val="0"/>
          <w:strike w:val="0"/>
          <w:color w:val="000000"/>
          <w:sz w:val="18"/>
          <w:szCs w:val="18"/>
          <w:u w:val="none"/>
          <w:shd w:val="clear" w:fill="auto"/>
          <w:vertAlign w:val="baseline"/>
        </w:rPr>
      </w:pPr>
      <w:r>
        <w:rPr>
          <w:rFonts w:ascii="Arial" w:hAnsi="Arial" w:eastAsia="Arial" w:cs="Arial"/>
          <w:b w:val="0"/>
          <w:i w:val="0"/>
          <w:smallCaps w:val="0"/>
          <w:strike w:val="0"/>
          <w:color w:val="000000"/>
          <w:sz w:val="18"/>
          <w:szCs w:val="18"/>
          <w:u w:val="none"/>
          <w:shd w:val="clear" w:fill="auto"/>
          <w:vertAlign w:val="baseline"/>
          <w:rtl w:val="0"/>
        </w:rPr>
        <w:t xml:space="preserve">U kunt ook denken aan taalspelletjes op Internet of het kijken naar Nederlandse films. Een aantal sites: </w:t>
      </w:r>
    </w:p>
    <w:p w14:paraId="00000279">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227" w:firstLine="0"/>
        <w:rPr>
          <w:color w:val="000000"/>
          <w:sz w:val="18"/>
          <w:szCs w:val="18"/>
        </w:rPr>
      </w:pPr>
      <w:r>
        <w:rPr>
          <w:color w:val="0000FF"/>
          <w:sz w:val="18"/>
          <w:szCs w:val="18"/>
          <w:u w:val="single"/>
          <w:rtl w:val="0"/>
        </w:rPr>
        <w:t xml:space="preserve">www.kennisnet.nl </w:t>
      </w:r>
      <w:r>
        <w:rPr>
          <w:color w:val="000000"/>
          <w:sz w:val="18"/>
          <w:szCs w:val="18"/>
          <w:rtl w:val="0"/>
        </w:rPr>
        <w:t xml:space="preserve">(vanaf 4 jaar) </w:t>
      </w:r>
      <w:r>
        <w:rPr>
          <w:color w:val="0000FF"/>
          <w:sz w:val="18"/>
          <w:szCs w:val="18"/>
          <w:u w:val="single"/>
          <w:rtl w:val="0"/>
        </w:rPr>
        <w:t>www.nijntje.nl</w:t>
      </w:r>
      <w:r>
        <w:rPr>
          <w:color w:val="0000FF"/>
          <w:sz w:val="18"/>
          <w:szCs w:val="18"/>
          <w:rtl w:val="0"/>
        </w:rPr>
        <w:t xml:space="preserve"> </w:t>
      </w:r>
      <w:r>
        <w:rPr>
          <w:color w:val="000000"/>
          <w:sz w:val="18"/>
          <w:szCs w:val="18"/>
          <w:rtl w:val="0"/>
        </w:rPr>
        <w:t xml:space="preserve">(0-4 jaar) </w:t>
      </w:r>
    </w:p>
    <w:p w14:paraId="0000027A">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226" w:right="154" w:firstLine="0"/>
        <w:rPr>
          <w:color w:val="000000"/>
          <w:sz w:val="18"/>
          <w:szCs w:val="18"/>
        </w:rPr>
      </w:pPr>
      <w:r>
        <w:rPr>
          <w:color w:val="0000FF"/>
          <w:sz w:val="18"/>
          <w:szCs w:val="18"/>
          <w:u w:val="single"/>
          <w:rtl w:val="0"/>
        </w:rPr>
        <w:t xml:space="preserve">www.wereldkids.nl </w:t>
      </w:r>
      <w:r>
        <w:rPr>
          <w:color w:val="000000"/>
          <w:sz w:val="18"/>
          <w:szCs w:val="18"/>
          <w:rtl w:val="0"/>
        </w:rPr>
        <w:t xml:space="preserve">(9-13 jaar) </w:t>
      </w:r>
      <w:r>
        <w:rPr>
          <w:color w:val="0000FF"/>
          <w:sz w:val="18"/>
          <w:szCs w:val="18"/>
          <w:u w:val="single"/>
          <w:rtl w:val="0"/>
        </w:rPr>
        <w:t xml:space="preserve">www.zapp.nl </w:t>
      </w:r>
      <w:r>
        <w:rPr>
          <w:color w:val="000000"/>
          <w:sz w:val="18"/>
          <w:szCs w:val="18"/>
          <w:rtl w:val="0"/>
        </w:rPr>
        <w:t xml:space="preserve">(vanaf 6 jaar) www.kindertube.nl </w:t>
      </w:r>
      <w:r>
        <w:rPr>
          <w:strike/>
          <w:color w:val="000000"/>
          <w:sz w:val="18"/>
          <w:szCs w:val="18"/>
          <w:rtl w:val="0"/>
        </w:rPr>
        <w:t>● D</w:t>
      </w:r>
      <w:r>
        <w:rPr>
          <w:color w:val="000000"/>
          <w:sz w:val="18"/>
          <w:szCs w:val="18"/>
          <w:rtl w:val="0"/>
        </w:rPr>
        <w:t xml:space="preserve">e website: </w:t>
      </w:r>
      <w:r>
        <w:rPr>
          <w:color w:val="0000FF"/>
          <w:sz w:val="18"/>
          <w:szCs w:val="18"/>
          <w:u w:val="single"/>
          <w:rtl w:val="0"/>
        </w:rPr>
        <w:t xml:space="preserve">www.taal-oefenen.nl </w:t>
      </w:r>
      <w:r>
        <w:rPr>
          <w:color w:val="000000"/>
          <w:sz w:val="18"/>
          <w:szCs w:val="18"/>
          <w:rtl w:val="0"/>
        </w:rPr>
        <w:t xml:space="preserve">is een leuke website voor de kinderen van groep 5 t/m 8 waar zij spelling, taal en woordenschat  kunnen oefenen. </w:t>
      </w:r>
    </w:p>
    <w:p w14:paraId="0000027B">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871" w:right="154" w:firstLine="355"/>
        <w:rPr>
          <w:color w:val="000000"/>
          <w:sz w:val="18"/>
          <w:szCs w:val="18"/>
        </w:rPr>
      </w:pPr>
      <w:r>
        <w:rPr>
          <w:strike/>
          <w:color w:val="000000"/>
          <w:sz w:val="18"/>
          <w:szCs w:val="18"/>
          <w:rtl w:val="0"/>
        </w:rPr>
        <w:t>K</w:t>
      </w:r>
      <w:r>
        <w:rPr>
          <w:color w:val="000000"/>
          <w:sz w:val="18"/>
          <w:szCs w:val="18"/>
          <w:rtl w:val="0"/>
        </w:rPr>
        <w:t xml:space="preserve">ijken naar educatieve programma’s. Een aantal educatieve programma’s: </w:t>
      </w:r>
    </w:p>
    <w:p w14:paraId="0000027C">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871" w:right="154" w:firstLine="355"/>
        <w:rPr>
          <w:color w:val="000000"/>
          <w:sz w:val="18"/>
          <w:szCs w:val="18"/>
        </w:rPr>
      </w:pPr>
      <w:r>
        <w:rPr>
          <w:color w:val="000000"/>
          <w:sz w:val="18"/>
          <w:szCs w:val="18"/>
          <w:rtl w:val="0"/>
        </w:rPr>
        <w:t xml:space="preserve">Het klokhuis: </w:t>
      </w:r>
      <w:r>
        <w:rPr>
          <w:color w:val="0000FF"/>
          <w:sz w:val="18"/>
          <w:szCs w:val="18"/>
          <w:u w:val="single"/>
          <w:rtl w:val="0"/>
        </w:rPr>
        <w:t xml:space="preserve">www.hetklokhuis.nl </w:t>
      </w:r>
      <w:r>
        <w:rPr>
          <w:color w:val="000000"/>
          <w:sz w:val="18"/>
          <w:szCs w:val="18"/>
          <w:rtl w:val="0"/>
        </w:rPr>
        <w:t xml:space="preserve">(8-12  jaar) </w:t>
      </w:r>
    </w:p>
    <w:p w14:paraId="0000027D">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217" w:firstLine="0"/>
        <w:rPr>
          <w:color w:val="000000"/>
          <w:sz w:val="18"/>
          <w:szCs w:val="18"/>
        </w:rPr>
      </w:pPr>
      <w:r>
        <w:rPr>
          <w:color w:val="000000"/>
          <w:sz w:val="18"/>
          <w:szCs w:val="18"/>
          <w:rtl w:val="0"/>
        </w:rPr>
        <w:t xml:space="preserve">Jeugdjournaal: </w:t>
      </w:r>
      <w:r>
        <w:rPr>
          <w:color w:val="0000FF"/>
          <w:sz w:val="18"/>
          <w:szCs w:val="18"/>
          <w:u w:val="single"/>
          <w:rtl w:val="0"/>
        </w:rPr>
        <w:t xml:space="preserve">www.jeugdjournaal.nl </w:t>
      </w:r>
      <w:r>
        <w:rPr>
          <w:color w:val="000000"/>
          <w:sz w:val="18"/>
          <w:szCs w:val="18"/>
          <w:rtl w:val="0"/>
        </w:rPr>
        <w:t xml:space="preserve">(8 – 14 jaar) </w:t>
      </w:r>
    </w:p>
    <w:p w14:paraId="0000027E">
      <w:pPr>
        <w:widowControl w:val="0"/>
        <w:pBdr>
          <w:top w:val="none" w:color="auto" w:sz="0" w:space="0"/>
          <w:left w:val="none" w:color="auto" w:sz="0" w:space="0"/>
          <w:bottom w:val="none" w:color="auto" w:sz="0" w:space="0"/>
          <w:right w:val="none" w:color="auto" w:sz="0" w:space="0"/>
          <w:between w:val="none" w:color="auto" w:sz="0" w:space="0"/>
        </w:pBdr>
        <w:spacing w:before="13" w:line="245" w:lineRule="auto"/>
        <w:ind w:left="1226" w:right="479" w:hanging="4"/>
        <w:rPr>
          <w:color w:val="000000"/>
          <w:sz w:val="18"/>
          <w:szCs w:val="18"/>
        </w:rPr>
      </w:pPr>
      <w:r>
        <w:rPr>
          <w:color w:val="000000"/>
          <w:sz w:val="18"/>
          <w:szCs w:val="18"/>
          <w:rtl w:val="0"/>
        </w:rPr>
        <w:t xml:space="preserve">Schooltv: </w:t>
      </w:r>
      <w:r>
        <w:rPr>
          <w:color w:val="0000FF"/>
          <w:sz w:val="18"/>
          <w:szCs w:val="18"/>
          <w:u w:val="single"/>
          <w:rtl w:val="0"/>
        </w:rPr>
        <w:t xml:space="preserve">www.schooltv.nl </w:t>
      </w:r>
      <w:r>
        <w:rPr>
          <w:color w:val="000000"/>
          <w:sz w:val="18"/>
          <w:szCs w:val="18"/>
          <w:rtl w:val="0"/>
        </w:rPr>
        <w:t xml:space="preserve">op deze website kunt u de afleveringen vinden van schooltv programma’s geschikt per leerjaar: </w:t>
      </w:r>
    </w:p>
    <w:p w14:paraId="0000027F">
      <w:pPr>
        <w:widowControl w:val="0"/>
        <w:pBdr>
          <w:top w:val="none" w:color="auto" w:sz="0" w:space="0"/>
          <w:left w:val="none" w:color="auto" w:sz="0" w:space="0"/>
          <w:bottom w:val="none" w:color="auto" w:sz="0" w:space="0"/>
          <w:right w:val="none" w:color="auto" w:sz="0" w:space="0"/>
          <w:between w:val="none" w:color="auto" w:sz="0" w:space="0"/>
        </w:pBdr>
        <w:spacing w:before="8" w:line="240" w:lineRule="auto"/>
        <w:ind w:left="1219" w:firstLine="0"/>
        <w:rPr>
          <w:color w:val="000000"/>
          <w:sz w:val="18"/>
          <w:szCs w:val="18"/>
        </w:rPr>
      </w:pPr>
      <w:r>
        <w:rPr>
          <w:color w:val="000000"/>
          <w:sz w:val="18"/>
          <w:szCs w:val="18"/>
          <w:rtl w:val="0"/>
        </w:rPr>
        <w:t xml:space="preserve">geschikt programma voor groep 1 en 2: koekeloere, het zandkasteel </w:t>
      </w:r>
    </w:p>
    <w:p w14:paraId="00000280">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219" w:firstLine="0"/>
        <w:rPr>
          <w:color w:val="000000"/>
          <w:sz w:val="18"/>
          <w:szCs w:val="18"/>
        </w:rPr>
      </w:pPr>
      <w:r>
        <w:rPr>
          <w:color w:val="000000"/>
          <w:sz w:val="18"/>
          <w:szCs w:val="18"/>
          <w:rtl w:val="0"/>
        </w:rPr>
        <w:t xml:space="preserve">geschikt programma voor groep 3 en 4: huisje, boompje,beestje </w:t>
      </w:r>
    </w:p>
    <w:p w14:paraId="00000281">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219" w:firstLine="0"/>
        <w:rPr>
          <w:color w:val="000000"/>
          <w:sz w:val="18"/>
          <w:szCs w:val="18"/>
        </w:rPr>
      </w:pPr>
      <w:r>
        <w:rPr>
          <w:color w:val="000000"/>
          <w:sz w:val="18"/>
          <w:szCs w:val="18"/>
          <w:rtl w:val="0"/>
        </w:rPr>
        <w:t xml:space="preserve">geschikt programma voor groep 5 en 6: nieuws uit de natuur </w:t>
      </w:r>
    </w:p>
    <w:p w14:paraId="00000282">
      <w:pPr>
        <w:widowControl w:val="0"/>
        <w:pBdr>
          <w:top w:val="none" w:color="auto" w:sz="0" w:space="0"/>
          <w:left w:val="none" w:color="auto" w:sz="0" w:space="0"/>
          <w:bottom w:val="none" w:color="auto" w:sz="0" w:space="0"/>
          <w:right w:val="none" w:color="auto" w:sz="0" w:space="0"/>
          <w:between w:val="none" w:color="auto" w:sz="0" w:space="0"/>
        </w:pBdr>
        <w:spacing w:before="13" w:line="240" w:lineRule="auto"/>
        <w:ind w:left="1219" w:firstLine="0"/>
        <w:rPr>
          <w:color w:val="000000"/>
          <w:sz w:val="18"/>
          <w:szCs w:val="18"/>
        </w:rPr>
      </w:pPr>
      <w:r>
        <w:rPr>
          <w:color w:val="000000"/>
          <w:sz w:val="18"/>
          <w:szCs w:val="18"/>
          <w:rtl w:val="0"/>
        </w:rPr>
        <w:t xml:space="preserve">geschikt programma voor groep 7 en 8: schooltv weekjournaal </w:t>
      </w:r>
    </w:p>
    <w:p w14:paraId="00000283">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13" w:after="0" w:line="240" w:lineRule="auto"/>
        <w:ind w:left="720" w:right="0" w:hanging="360"/>
        <w:jc w:val="left"/>
        <w:rPr>
          <w:rFonts w:ascii="Arial" w:hAnsi="Arial" w:eastAsia="Arial" w:cs="Arial"/>
          <w:b w:val="0"/>
          <w:i w:val="0"/>
          <w:smallCaps w:val="0"/>
          <w:strike w:val="0"/>
          <w:color w:val="000000"/>
          <w:sz w:val="18"/>
          <w:szCs w:val="18"/>
          <w:u w:val="none"/>
          <w:shd w:val="clear" w:fill="auto"/>
          <w:vertAlign w:val="baseline"/>
        </w:rPr>
      </w:pPr>
      <w:r>
        <w:rPr>
          <w:rFonts w:ascii="Arial" w:hAnsi="Arial" w:eastAsia="Arial" w:cs="Arial"/>
          <w:b w:val="0"/>
          <w:i w:val="0"/>
          <w:smallCaps w:val="0"/>
          <w:strike/>
          <w:color w:val="000000"/>
          <w:sz w:val="18"/>
          <w:szCs w:val="18"/>
          <w:u w:val="none"/>
          <w:shd w:val="clear" w:fill="auto"/>
          <w:vertAlign w:val="baseline"/>
          <w:rtl w:val="0"/>
        </w:rPr>
        <w:t>E</w:t>
      </w:r>
      <w:r>
        <w:rPr>
          <w:rFonts w:ascii="Arial" w:hAnsi="Arial" w:eastAsia="Arial" w:cs="Arial"/>
          <w:b w:val="0"/>
          <w:i w:val="0"/>
          <w:smallCaps w:val="0"/>
          <w:strike w:val="0"/>
          <w:color w:val="000000"/>
          <w:sz w:val="18"/>
          <w:szCs w:val="18"/>
          <w:u w:val="none"/>
          <w:shd w:val="clear" w:fill="auto"/>
          <w:vertAlign w:val="baseline"/>
          <w:rtl w:val="0"/>
        </w:rPr>
        <w:t xml:space="preserve">r bestaan vele leuke liedjes-CD´s en luister-CD´s waarop boeken worden voorgelezen. Zet deze op in de auto onderweg naar school of naar de supermarkt en kinderen leren zonder dat ze het door hebben. </w:t>
      </w:r>
    </w:p>
    <w:p w14:paraId="00000284">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720" w:right="96" w:hanging="360"/>
        <w:jc w:val="left"/>
        <w:rPr>
          <w:rFonts w:ascii="Arial" w:hAnsi="Arial" w:eastAsia="Arial" w:cs="Arial"/>
          <w:b w:val="0"/>
          <w:i w:val="0"/>
          <w:smallCaps w:val="0"/>
          <w:strike w:val="0"/>
          <w:color w:val="000000"/>
          <w:sz w:val="18"/>
          <w:szCs w:val="18"/>
          <w:u w:val="none"/>
          <w:shd w:val="clear" w:fill="auto"/>
          <w:vertAlign w:val="baseline"/>
        </w:rPr>
      </w:pPr>
      <w:r>
        <w:rPr>
          <w:rFonts w:ascii="Arial" w:hAnsi="Arial" w:eastAsia="Arial" w:cs="Arial"/>
          <w:b w:val="0"/>
          <w:i w:val="0"/>
          <w:smallCaps w:val="0"/>
          <w:strike/>
          <w:color w:val="000000"/>
          <w:sz w:val="18"/>
          <w:szCs w:val="18"/>
          <w:u w:val="none"/>
          <w:shd w:val="clear" w:fill="auto"/>
          <w:vertAlign w:val="baseline"/>
          <w:rtl w:val="0"/>
        </w:rPr>
        <w:t>O</w:t>
      </w:r>
      <w:r>
        <w:rPr>
          <w:rFonts w:ascii="Arial" w:hAnsi="Arial" w:eastAsia="Arial" w:cs="Arial"/>
          <w:b w:val="0"/>
          <w:i w:val="0"/>
          <w:smallCaps w:val="0"/>
          <w:strike w:val="0"/>
          <w:color w:val="000000"/>
          <w:sz w:val="18"/>
          <w:szCs w:val="18"/>
          <w:u w:val="none"/>
          <w:shd w:val="clear" w:fill="auto"/>
          <w:vertAlign w:val="baseline"/>
          <w:rtl w:val="0"/>
        </w:rPr>
        <w:t xml:space="preserve">ok het spelen van gezelschapsspelletjes in het Nederlands is nuttig en leuk. Speel bijvoorbeeld </w:t>
      </w:r>
      <w:r>
        <w:rPr>
          <w:rFonts w:ascii="Arial" w:hAnsi="Arial" w:eastAsia="Arial" w:cs="Arial"/>
          <w:b w:val="0"/>
          <w:i/>
          <w:smallCaps w:val="0"/>
          <w:strike w:val="0"/>
          <w:color w:val="000000"/>
          <w:sz w:val="18"/>
          <w:szCs w:val="18"/>
          <w:u w:val="none"/>
          <w:shd w:val="clear" w:fill="auto"/>
          <w:vertAlign w:val="baseline"/>
          <w:rtl w:val="0"/>
        </w:rPr>
        <w:t>Memory, Scrabble, Wie is het, Galgje, Pimpampet, Ik zie ik zie wat jij niet ziet. Monopoly, e</w:t>
      </w:r>
      <w:r>
        <w:rPr>
          <w:rFonts w:ascii="Arial" w:hAnsi="Arial" w:eastAsia="Arial" w:cs="Arial"/>
          <w:b w:val="0"/>
          <w:i w:val="0"/>
          <w:smallCaps w:val="0"/>
          <w:strike w:val="0"/>
          <w:color w:val="000000"/>
          <w:sz w:val="18"/>
          <w:szCs w:val="18"/>
          <w:u w:val="none"/>
          <w:shd w:val="clear" w:fill="auto"/>
          <w:vertAlign w:val="baseline"/>
          <w:rtl w:val="0"/>
        </w:rPr>
        <w:t xml:space="preserve">tc. </w:t>
      </w:r>
    </w:p>
    <w:p w14:paraId="00000285">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720" w:right="173" w:hanging="360"/>
        <w:jc w:val="left"/>
        <w:rPr>
          <w:rFonts w:ascii="Arial" w:hAnsi="Arial" w:eastAsia="Arial" w:cs="Arial"/>
          <w:b w:val="0"/>
          <w:i w:val="0"/>
          <w:smallCaps w:val="0"/>
          <w:strike w:val="0"/>
          <w:color w:val="000000"/>
          <w:sz w:val="18"/>
          <w:szCs w:val="18"/>
          <w:u w:val="none"/>
          <w:shd w:val="clear" w:fill="auto"/>
          <w:vertAlign w:val="baseline"/>
        </w:rPr>
      </w:pPr>
      <w:r>
        <w:rPr>
          <w:rFonts w:ascii="Arial" w:hAnsi="Arial" w:eastAsia="Arial" w:cs="Arial"/>
          <w:b w:val="0"/>
          <w:i w:val="0"/>
          <w:smallCaps w:val="0"/>
          <w:strike/>
          <w:color w:val="000000"/>
          <w:sz w:val="18"/>
          <w:szCs w:val="18"/>
          <w:u w:val="none"/>
          <w:shd w:val="clear" w:fill="auto"/>
          <w:vertAlign w:val="baseline"/>
          <w:rtl w:val="0"/>
        </w:rPr>
        <w:t>U</w:t>
      </w:r>
      <w:r>
        <w:rPr>
          <w:rFonts w:ascii="Arial" w:hAnsi="Arial" w:eastAsia="Arial" w:cs="Arial"/>
          <w:b w:val="0"/>
          <w:i w:val="0"/>
          <w:smallCaps w:val="0"/>
          <w:strike w:val="0"/>
          <w:color w:val="000000"/>
          <w:sz w:val="18"/>
          <w:szCs w:val="18"/>
          <w:u w:val="none"/>
          <w:shd w:val="clear" w:fill="auto"/>
          <w:vertAlign w:val="baseline"/>
          <w:rtl w:val="0"/>
        </w:rPr>
        <w:t xml:space="preserve"> kunt een vaste tijd per dag afspreken om Nederlands te praten, bijvoorbeeld tijdens het tafel dekken of het terugrijden van school naar huis. Geef daarbij het goede voorbeeld door goede, volledige Nederlandse zinnen te gebruiken zonder veel buitenlandse termen. </w:t>
      </w:r>
    </w:p>
    <w:p w14:paraId="00000286">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5" w:lineRule="auto"/>
        <w:ind w:left="720" w:right="173" w:hanging="360"/>
        <w:jc w:val="left"/>
        <w:rPr>
          <w:rFonts w:ascii="Arial" w:hAnsi="Arial" w:eastAsia="Arial" w:cs="Arial"/>
          <w:b w:val="0"/>
          <w:i w:val="0"/>
          <w:smallCaps w:val="0"/>
          <w:strike w:val="0"/>
          <w:color w:val="000000"/>
          <w:sz w:val="18"/>
          <w:szCs w:val="18"/>
          <w:u w:val="none"/>
          <w:shd w:val="clear" w:fill="auto"/>
          <w:vertAlign w:val="baseline"/>
        </w:rPr>
      </w:pPr>
      <w:r>
        <w:rPr>
          <w:rFonts w:ascii="Arial" w:hAnsi="Arial" w:eastAsia="Arial" w:cs="Arial"/>
          <w:b w:val="0"/>
          <w:i w:val="0"/>
          <w:smallCaps w:val="0"/>
          <w:strike/>
          <w:color w:val="000000"/>
          <w:sz w:val="18"/>
          <w:szCs w:val="18"/>
          <w:u w:val="none"/>
          <w:shd w:val="clear" w:fill="auto"/>
          <w:vertAlign w:val="baseline"/>
          <w:rtl w:val="0"/>
        </w:rPr>
        <w:t>M</w:t>
      </w:r>
      <w:r>
        <w:rPr>
          <w:rFonts w:ascii="Arial" w:hAnsi="Arial" w:eastAsia="Arial" w:cs="Arial"/>
          <w:b w:val="0"/>
          <w:i w:val="0"/>
          <w:smallCaps w:val="0"/>
          <w:strike w:val="0"/>
          <w:color w:val="000000"/>
          <w:sz w:val="18"/>
          <w:szCs w:val="18"/>
          <w:u w:val="none"/>
          <w:shd w:val="clear" w:fill="auto"/>
          <w:vertAlign w:val="baseline"/>
          <w:rtl w:val="0"/>
        </w:rPr>
        <w:t xml:space="preserve">oedig e-mail, Skype en telefonisch contact met Nederlandstalige familie en bekenden aan. </w:t>
      </w:r>
    </w:p>
    <w:p w14:paraId="00000287">
      <w:pPr>
        <w:widowControl w:val="0"/>
        <w:pBdr>
          <w:top w:val="none" w:color="auto" w:sz="0" w:space="0"/>
          <w:left w:val="none" w:color="auto" w:sz="0" w:space="0"/>
          <w:bottom w:val="none" w:color="auto" w:sz="0" w:space="0"/>
          <w:right w:val="none" w:color="auto" w:sz="0" w:space="0"/>
          <w:between w:val="none" w:color="auto" w:sz="0" w:space="0"/>
        </w:pBdr>
        <w:spacing w:before="278" w:line="240" w:lineRule="auto"/>
        <w:ind w:left="163" w:firstLine="0"/>
        <w:rPr>
          <w:color w:val="000000"/>
          <w:sz w:val="18"/>
          <w:szCs w:val="18"/>
          <w:u w:val="single"/>
        </w:rPr>
      </w:pPr>
      <w:r>
        <w:rPr>
          <w:color w:val="000000"/>
          <w:sz w:val="18"/>
          <w:szCs w:val="18"/>
          <w:rtl w:val="0"/>
        </w:rPr>
        <w:t>Kijk eens op de site van Stichting NOB voor meer tips voor ouders (</w:t>
      </w:r>
      <w:r>
        <w:rPr>
          <w:color w:val="0000FF"/>
          <w:sz w:val="18"/>
          <w:szCs w:val="18"/>
          <w:u w:val="single"/>
          <w:rtl w:val="0"/>
        </w:rPr>
        <w:t>www.stichtingnob.nl</w:t>
      </w:r>
      <w:r>
        <w:rPr>
          <w:color w:val="000000"/>
          <w:sz w:val="18"/>
          <w:szCs w:val="18"/>
          <w:u w:val="single"/>
          <w:rtl w:val="0"/>
        </w:rPr>
        <w:t>)</w:t>
      </w:r>
    </w:p>
    <w:sectPr>
      <w:pgSz w:w="11920" w:h="16840"/>
      <w:pgMar w:top="1390" w:right="542" w:bottom="990" w:left="1270" w:header="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85E1198F-8536-417F-9F9A-06FAF85198A5}"/>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185DCAC7-A442-4124-9369-D39EC42FA667}"/>
  </w:font>
  <w:font w:name="Wingdings">
    <w:panose1 w:val="05000000000000000000"/>
    <w:charset w:val="02"/>
    <w:family w:val="auto"/>
    <w:pitch w:val="default"/>
    <w:sig w:usb0="00000000" w:usb1="00000000" w:usb2="00000000" w:usb3="00000000" w:csb0="80000000" w:csb1="00000000"/>
    <w:embedRegular r:id="rId3" w:fontKey="{47A9208D-CEEF-4F14-A601-A37BD97978D5}"/>
  </w:font>
  <w:font w:name="Calibri">
    <w:panose1 w:val="020F0502020204030204"/>
    <w:charset w:val="00"/>
    <w:family w:val="swiss"/>
    <w:pitch w:val="default"/>
    <w:sig w:usb0="E4002EFF" w:usb1="C000247B" w:usb2="00000009" w:usb3="00000000" w:csb0="200001FF" w:csb1="00000000"/>
    <w:embedRegular r:id="rId4" w:fontKey="{C30B50EF-E9AF-4CF4-8EF0-287D657BC6C6}"/>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AE9DCB11-E77F-4EA8-A5B2-CCFC3B9F0980}"/>
  </w:font>
  <w:font w:name="Hei">
    <w:altName w:val="Microsoft YaHei"/>
    <w:panose1 w:val="00000000000000000000"/>
    <w:charset w:val="00"/>
    <w:family w:val="auto"/>
    <w:pitch w:val="default"/>
    <w:sig w:usb0="00000000" w:usb1="00000000" w:usb2="00000000" w:usb3="00000000" w:csb0="00000000" w:csb1="00000000"/>
  </w:font>
  <w:font w:name="Noto Sans Symbols">
    <w:altName w:val="Segoe Print"/>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embedRegular r:id="rId6" w:fontKey="{BBADF760-AEBD-42C6-BE48-77863C93610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205925"/>
    <w:multiLevelType w:val="multilevel"/>
    <w:tmpl w:val="BF205925"/>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
    <w:nsid w:val="CF092B84"/>
    <w:multiLevelType w:val="multilevel"/>
    <w:tmpl w:val="CF092B84"/>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
    <w:nsid w:val="0053208E"/>
    <w:multiLevelType w:val="multilevel"/>
    <w:tmpl w:val="0053208E"/>
    <w:lvl w:ilvl="0" w:tentative="0">
      <w:start w:val="1"/>
      <w:numFmt w:val="decimal"/>
      <w:lvlText w:val="%1"/>
      <w:lvlJc w:val="left"/>
      <w:pPr>
        <w:ind w:left="332" w:hanging="201"/>
      </w:pPr>
      <w:rPr>
        <w:rFonts w:ascii="Arial" w:hAnsi="Arial" w:eastAsia="Arial" w:cs="Arial"/>
        <w:b/>
        <w:i w:val="0"/>
        <w:sz w:val="24"/>
        <w:szCs w:val="24"/>
      </w:rPr>
    </w:lvl>
    <w:lvl w:ilvl="1" w:tentative="0">
      <w:start w:val="1"/>
      <w:numFmt w:val="decimal"/>
      <w:lvlText w:val="%1.%2"/>
      <w:lvlJc w:val="left"/>
      <w:pPr>
        <w:ind w:left="468" w:hanging="337"/>
      </w:pPr>
      <w:rPr>
        <w:rFonts w:ascii="Arial" w:hAnsi="Arial" w:eastAsia="Arial" w:cs="Arial"/>
        <w:b/>
        <w:i w:val="0"/>
        <w:sz w:val="20"/>
        <w:szCs w:val="20"/>
      </w:rPr>
    </w:lvl>
    <w:lvl w:ilvl="2" w:tentative="0">
      <w:start w:val="0"/>
      <w:numFmt w:val="bullet"/>
      <w:lvlText w:val="•"/>
      <w:lvlJc w:val="left"/>
      <w:pPr>
        <w:ind w:left="580" w:hanging="337"/>
      </w:pPr>
    </w:lvl>
    <w:lvl w:ilvl="3" w:tentative="0">
      <w:start w:val="0"/>
      <w:numFmt w:val="bullet"/>
      <w:lvlText w:val="•"/>
      <w:lvlJc w:val="left"/>
      <w:pPr>
        <w:ind w:left="1742" w:hanging="337"/>
      </w:pPr>
    </w:lvl>
    <w:lvl w:ilvl="4" w:tentative="0">
      <w:start w:val="0"/>
      <w:numFmt w:val="bullet"/>
      <w:lvlText w:val="•"/>
      <w:lvlJc w:val="left"/>
      <w:pPr>
        <w:ind w:left="2905" w:hanging="337"/>
      </w:pPr>
    </w:lvl>
    <w:lvl w:ilvl="5" w:tentative="0">
      <w:start w:val="0"/>
      <w:numFmt w:val="bullet"/>
      <w:lvlText w:val="•"/>
      <w:lvlJc w:val="left"/>
      <w:pPr>
        <w:ind w:left="4067" w:hanging="337"/>
      </w:pPr>
    </w:lvl>
    <w:lvl w:ilvl="6" w:tentative="0">
      <w:start w:val="0"/>
      <w:numFmt w:val="bullet"/>
      <w:lvlText w:val="•"/>
      <w:lvlJc w:val="left"/>
      <w:pPr>
        <w:ind w:left="5230" w:hanging="337"/>
      </w:pPr>
    </w:lvl>
    <w:lvl w:ilvl="7" w:tentative="0">
      <w:start w:val="0"/>
      <w:numFmt w:val="bullet"/>
      <w:lvlText w:val="•"/>
      <w:lvlJc w:val="left"/>
      <w:pPr>
        <w:ind w:left="6392" w:hanging="337"/>
      </w:pPr>
    </w:lvl>
    <w:lvl w:ilvl="8" w:tentative="0">
      <w:start w:val="0"/>
      <w:numFmt w:val="bullet"/>
      <w:lvlText w:val="•"/>
      <w:lvlJc w:val="left"/>
      <w:pPr>
        <w:ind w:left="7555" w:hanging="337"/>
      </w:pPr>
    </w:lvl>
  </w:abstractNum>
  <w:abstractNum w:abstractNumId="3">
    <w:nsid w:val="59ADCABA"/>
    <w:multiLevelType w:val="multilevel"/>
    <w:tmpl w:val="59ADCABA"/>
    <w:lvl w:ilvl="0" w:tentative="0">
      <w:start w:val="1"/>
      <w:numFmt w:val="bullet"/>
      <w:lvlText w:val="●"/>
      <w:lvlJc w:val="left"/>
      <w:pPr>
        <w:ind w:left="1237" w:hanging="360"/>
      </w:pPr>
      <w:rPr>
        <w:rFonts w:ascii="Noto Sans Symbols" w:hAnsi="Noto Sans Symbols" w:eastAsia="Noto Sans Symbols" w:cs="Noto Sans Symbols"/>
      </w:rPr>
    </w:lvl>
    <w:lvl w:ilvl="1" w:tentative="0">
      <w:start w:val="1"/>
      <w:numFmt w:val="bullet"/>
      <w:lvlText w:val="o"/>
      <w:lvlJc w:val="left"/>
      <w:pPr>
        <w:ind w:left="1957" w:hanging="360"/>
      </w:pPr>
      <w:rPr>
        <w:rFonts w:ascii="Courier New" w:hAnsi="Courier New" w:eastAsia="Courier New" w:cs="Courier New"/>
      </w:rPr>
    </w:lvl>
    <w:lvl w:ilvl="2" w:tentative="0">
      <w:start w:val="1"/>
      <w:numFmt w:val="bullet"/>
      <w:lvlText w:val="▪"/>
      <w:lvlJc w:val="left"/>
      <w:pPr>
        <w:ind w:left="2677" w:hanging="360"/>
      </w:pPr>
      <w:rPr>
        <w:rFonts w:ascii="Noto Sans Symbols" w:hAnsi="Noto Sans Symbols" w:eastAsia="Noto Sans Symbols" w:cs="Noto Sans Symbols"/>
      </w:rPr>
    </w:lvl>
    <w:lvl w:ilvl="3" w:tentative="0">
      <w:start w:val="1"/>
      <w:numFmt w:val="bullet"/>
      <w:lvlText w:val="●"/>
      <w:lvlJc w:val="left"/>
      <w:pPr>
        <w:ind w:left="3397" w:hanging="360"/>
      </w:pPr>
      <w:rPr>
        <w:rFonts w:ascii="Noto Sans Symbols" w:hAnsi="Noto Sans Symbols" w:eastAsia="Noto Sans Symbols" w:cs="Noto Sans Symbols"/>
      </w:rPr>
    </w:lvl>
    <w:lvl w:ilvl="4" w:tentative="0">
      <w:start w:val="1"/>
      <w:numFmt w:val="bullet"/>
      <w:lvlText w:val="o"/>
      <w:lvlJc w:val="left"/>
      <w:pPr>
        <w:ind w:left="4117" w:hanging="360"/>
      </w:pPr>
      <w:rPr>
        <w:rFonts w:ascii="Courier New" w:hAnsi="Courier New" w:eastAsia="Courier New" w:cs="Courier New"/>
      </w:rPr>
    </w:lvl>
    <w:lvl w:ilvl="5" w:tentative="0">
      <w:start w:val="1"/>
      <w:numFmt w:val="bullet"/>
      <w:lvlText w:val="▪"/>
      <w:lvlJc w:val="left"/>
      <w:pPr>
        <w:ind w:left="4837" w:hanging="360"/>
      </w:pPr>
      <w:rPr>
        <w:rFonts w:ascii="Noto Sans Symbols" w:hAnsi="Noto Sans Symbols" w:eastAsia="Noto Sans Symbols" w:cs="Noto Sans Symbols"/>
      </w:rPr>
    </w:lvl>
    <w:lvl w:ilvl="6" w:tentative="0">
      <w:start w:val="1"/>
      <w:numFmt w:val="bullet"/>
      <w:lvlText w:val="●"/>
      <w:lvlJc w:val="left"/>
      <w:pPr>
        <w:ind w:left="5557" w:hanging="360"/>
      </w:pPr>
      <w:rPr>
        <w:rFonts w:ascii="Noto Sans Symbols" w:hAnsi="Noto Sans Symbols" w:eastAsia="Noto Sans Symbols" w:cs="Noto Sans Symbols"/>
      </w:rPr>
    </w:lvl>
    <w:lvl w:ilvl="7" w:tentative="0">
      <w:start w:val="1"/>
      <w:numFmt w:val="bullet"/>
      <w:lvlText w:val="o"/>
      <w:lvlJc w:val="left"/>
      <w:pPr>
        <w:ind w:left="6277" w:hanging="360"/>
      </w:pPr>
      <w:rPr>
        <w:rFonts w:ascii="Courier New" w:hAnsi="Courier New" w:eastAsia="Courier New" w:cs="Courier New"/>
      </w:rPr>
    </w:lvl>
    <w:lvl w:ilvl="8" w:tentative="0">
      <w:start w:val="1"/>
      <w:numFmt w:val="bullet"/>
      <w:lvlText w:val="▪"/>
      <w:lvlJc w:val="left"/>
      <w:pPr>
        <w:ind w:left="6997" w:hanging="360"/>
      </w:pPr>
      <w:rPr>
        <w:rFonts w:ascii="Noto Sans Symbols" w:hAnsi="Noto Sans Symbols" w:eastAsia="Noto Sans Symbols" w:cs="Noto Sans Symbols"/>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33243E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qFormat="1" w:unhideWhenUsed="0" w:uiPriority="0" w:semiHidden="0" w:name="heading 2"/>
    <w:lsdException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nl"/>
    </w:rPr>
  </w:style>
  <w:style w:type="paragraph" w:styleId="2">
    <w:name w:val="heading 1"/>
    <w:basedOn w:val="1"/>
    <w:next w:val="1"/>
    <w:uiPriority w:val="0"/>
    <w:pPr>
      <w:keepNext/>
      <w:keepLines/>
      <w:spacing w:before="480" w:after="120"/>
    </w:pPr>
    <w:rPr>
      <w:b/>
      <w:sz w:val="48"/>
      <w:szCs w:val="48"/>
    </w:rPr>
  </w:style>
  <w:style w:type="paragraph" w:styleId="3">
    <w:name w:val="heading 2"/>
    <w:basedOn w:val="1"/>
    <w:next w:val="1"/>
    <w:qFormat/>
    <w:uiPriority w:val="0"/>
    <w:pPr>
      <w:keepNext/>
      <w:keepLines/>
      <w:spacing w:before="360" w:after="80"/>
    </w:pPr>
    <w:rPr>
      <w:b/>
      <w:sz w:val="36"/>
      <w:szCs w:val="36"/>
    </w:rPr>
  </w:style>
  <w:style w:type="paragraph" w:styleId="4">
    <w:name w:val="heading 3"/>
    <w:basedOn w:val="1"/>
    <w:next w:val="1"/>
    <w:uiPriority w:val="0"/>
    <w:pPr>
      <w:keepNext/>
      <w:keepLines/>
      <w:spacing w:before="280" w:after="80"/>
    </w:pPr>
    <w:rPr>
      <w:b/>
      <w:sz w:val="28"/>
      <w:szCs w:val="28"/>
    </w:rPr>
  </w:style>
  <w:style w:type="paragraph" w:styleId="5">
    <w:name w:val="heading 4"/>
    <w:basedOn w:val="1"/>
    <w:next w:val="1"/>
    <w:qFormat/>
    <w:uiPriority w:val="0"/>
    <w:pPr>
      <w:keepNext/>
      <w:keepLines/>
      <w:spacing w:before="240" w:after="40"/>
    </w:pPr>
    <w:rPr>
      <w:b/>
      <w:sz w:val="24"/>
      <w:szCs w:val="24"/>
    </w:rPr>
  </w:style>
  <w:style w:type="paragraph" w:styleId="6">
    <w:name w:val="heading 5"/>
    <w:basedOn w:val="1"/>
    <w:next w:val="1"/>
    <w:qFormat/>
    <w:uiPriority w:val="0"/>
    <w:pPr>
      <w:keepNext/>
      <w:keepLines/>
      <w:spacing w:before="220" w:after="40"/>
    </w:pPr>
    <w:rPr>
      <w:b/>
    </w:rPr>
  </w:style>
  <w:style w:type="paragraph" w:styleId="7">
    <w:name w:val="heading 6"/>
    <w:basedOn w:val="1"/>
    <w:next w:val="1"/>
    <w:qFormat/>
    <w:uiPriority w:val="0"/>
    <w:pPr>
      <w:keepNext/>
      <w:keepLines/>
      <w:spacing w:before="200" w:after="40"/>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FollowedHyperlink"/>
    <w:basedOn w:val="8"/>
    <w:semiHidden/>
    <w:unhideWhenUsed/>
    <w:uiPriority w:val="99"/>
    <w:rPr>
      <w:color w:val="800080" w:themeColor="followedHyperlink"/>
      <w:u w:val="single"/>
      <w14:textFill>
        <w14:solidFill>
          <w14:schemeClr w14:val="folHlink"/>
        </w14:solidFill>
      </w14:textFill>
    </w:rPr>
  </w:style>
  <w:style w:type="character" w:styleId="11">
    <w:name w:val="Hyperlink"/>
    <w:basedOn w:val="8"/>
    <w:unhideWhenUsed/>
    <w:qFormat/>
    <w:uiPriority w:val="99"/>
    <w:rPr>
      <w:color w:val="0000FF" w:themeColor="hyperlink"/>
      <w:u w:val="single"/>
      <w14:textFill>
        <w14:solidFill>
          <w14:schemeClr w14:val="hlink"/>
        </w14:solidFill>
      </w14:textFill>
    </w:rPr>
  </w:style>
  <w:style w:type="paragraph" w:styleId="12">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13">
    <w:name w:val="Subtitle"/>
    <w:basedOn w:val="1"/>
    <w:next w:val="1"/>
    <w:qFormat/>
    <w:uiPriority w:val="0"/>
    <w:pPr>
      <w:keepNext/>
      <w:keepLines/>
      <w:spacing w:before="360" w:after="80"/>
    </w:pPr>
    <w:rPr>
      <w:rFonts w:ascii="Georgia" w:hAnsi="Georgia" w:eastAsia="Georgia" w:cs="Georgia"/>
      <w:i/>
      <w:color w:val="666666"/>
      <w:sz w:val="48"/>
      <w:szCs w:val="48"/>
    </w:rPr>
  </w:style>
  <w:style w:type="paragraph" w:styleId="14">
    <w:name w:val="Title"/>
    <w:basedOn w:val="1"/>
    <w:next w:val="1"/>
    <w:uiPriority w:val="0"/>
    <w:pPr>
      <w:keepNext/>
      <w:keepLines/>
      <w:spacing w:before="480" w:after="120"/>
    </w:pPr>
    <w:rPr>
      <w:b/>
      <w:sz w:val="72"/>
      <w:szCs w:val="72"/>
    </w:rPr>
  </w:style>
  <w:style w:type="table" w:customStyle="1" w:styleId="15">
    <w:name w:val="TableNormal"/>
    <w:uiPriority w:val="0"/>
    <w:tblPr>
      <w:tblCellMar>
        <w:top w:w="100" w:type="dxa"/>
        <w:left w:w="100" w:type="dxa"/>
        <w:bottom w:w="100" w:type="dxa"/>
        <w:right w:w="100" w:type="dxa"/>
      </w:tblCellMar>
    </w:tblPr>
  </w:style>
  <w:style w:type="table" w:customStyle="1" w:styleId="16">
    <w:name w:val="Table Normal1"/>
    <w:uiPriority w:val="0"/>
    <w:tblPr>
      <w:tblCellMar>
        <w:top w:w="0" w:type="dxa"/>
        <w:left w:w="0" w:type="dxa"/>
        <w:bottom w:w="0" w:type="dxa"/>
        <w:right w:w="0" w:type="dxa"/>
      </w:tblCellMar>
    </w:tblPr>
  </w:style>
  <w:style w:type="table" w:customStyle="1" w:styleId="17">
    <w:name w:val="_Style 12"/>
    <w:basedOn w:val="16"/>
    <w:uiPriority w:val="0"/>
    <w:tblPr>
      <w:tblCellMar>
        <w:top w:w="100" w:type="dxa"/>
        <w:left w:w="100" w:type="dxa"/>
        <w:bottom w:w="100" w:type="dxa"/>
        <w:right w:w="100" w:type="dxa"/>
      </w:tblCellMar>
    </w:tblPr>
  </w:style>
  <w:style w:type="table" w:customStyle="1" w:styleId="18">
    <w:name w:val="_Style 13"/>
    <w:basedOn w:val="16"/>
    <w:uiPriority w:val="0"/>
    <w:tblPr>
      <w:tblCellMar>
        <w:top w:w="100" w:type="dxa"/>
        <w:left w:w="100" w:type="dxa"/>
        <w:bottom w:w="100" w:type="dxa"/>
        <w:right w:w="100" w:type="dxa"/>
      </w:tblCellMar>
    </w:tblPr>
  </w:style>
  <w:style w:type="table" w:customStyle="1" w:styleId="19">
    <w:name w:val="_Style 14"/>
    <w:basedOn w:val="16"/>
    <w:uiPriority w:val="0"/>
    <w:tblPr>
      <w:tblCellMar>
        <w:top w:w="100" w:type="dxa"/>
        <w:left w:w="100" w:type="dxa"/>
        <w:bottom w:w="100" w:type="dxa"/>
        <w:right w:w="100" w:type="dxa"/>
      </w:tblCellMar>
    </w:tblPr>
  </w:style>
  <w:style w:type="table" w:customStyle="1" w:styleId="20">
    <w:name w:val="_Style 15"/>
    <w:basedOn w:val="16"/>
    <w:qFormat/>
    <w:uiPriority w:val="0"/>
    <w:tblPr>
      <w:tblCellMar>
        <w:top w:w="100" w:type="dxa"/>
        <w:left w:w="100" w:type="dxa"/>
        <w:bottom w:w="100" w:type="dxa"/>
        <w:right w:w="100" w:type="dxa"/>
      </w:tblCellMar>
    </w:tblPr>
  </w:style>
  <w:style w:type="table" w:customStyle="1" w:styleId="21">
    <w:name w:val="_Style 16"/>
    <w:basedOn w:val="16"/>
    <w:qFormat/>
    <w:uiPriority w:val="0"/>
    <w:tblPr>
      <w:tblCellMar>
        <w:top w:w="100" w:type="dxa"/>
        <w:left w:w="100" w:type="dxa"/>
        <w:bottom w:w="100" w:type="dxa"/>
        <w:right w:w="100" w:type="dxa"/>
      </w:tblCellMar>
    </w:tblPr>
  </w:style>
  <w:style w:type="table" w:customStyle="1" w:styleId="22">
    <w:name w:val="_Style 17"/>
    <w:basedOn w:val="16"/>
    <w:uiPriority w:val="0"/>
    <w:tblPr>
      <w:tblCellMar>
        <w:top w:w="100" w:type="dxa"/>
        <w:left w:w="100" w:type="dxa"/>
        <w:bottom w:w="100" w:type="dxa"/>
        <w:right w:w="100" w:type="dxa"/>
      </w:tblCellMar>
    </w:tblPr>
  </w:style>
  <w:style w:type="table" w:customStyle="1" w:styleId="23">
    <w:name w:val="_Style 18"/>
    <w:basedOn w:val="16"/>
    <w:qFormat/>
    <w:uiPriority w:val="0"/>
    <w:tblPr>
      <w:tblCellMar>
        <w:top w:w="100" w:type="dxa"/>
        <w:left w:w="100" w:type="dxa"/>
        <w:bottom w:w="100" w:type="dxa"/>
        <w:right w:w="100" w:type="dxa"/>
      </w:tblCellMar>
    </w:tblPr>
  </w:style>
  <w:style w:type="table" w:customStyle="1" w:styleId="24">
    <w:name w:val="_Style 19"/>
    <w:basedOn w:val="16"/>
    <w:uiPriority w:val="0"/>
    <w:tblPr>
      <w:tblCellMar>
        <w:top w:w="100" w:type="dxa"/>
        <w:left w:w="100" w:type="dxa"/>
        <w:bottom w:w="100" w:type="dxa"/>
        <w:right w:w="100" w:type="dxa"/>
      </w:tblCellMar>
    </w:tblPr>
  </w:style>
  <w:style w:type="table" w:customStyle="1" w:styleId="25">
    <w:name w:val="_Style 20"/>
    <w:basedOn w:val="16"/>
    <w:uiPriority w:val="0"/>
    <w:tblPr>
      <w:tblCellMar>
        <w:top w:w="100" w:type="dxa"/>
        <w:left w:w="100" w:type="dxa"/>
        <w:bottom w:w="100" w:type="dxa"/>
        <w:right w:w="100" w:type="dxa"/>
      </w:tblCellMar>
    </w:tblPr>
  </w:style>
  <w:style w:type="paragraph" w:styleId="26">
    <w:name w:val="List Paragraph"/>
    <w:basedOn w:val="1"/>
    <w:qFormat/>
    <w:uiPriority w:val="34"/>
    <w:pPr>
      <w:ind w:left="720"/>
      <w:contextualSpacing/>
    </w:pPr>
  </w:style>
  <w:style w:type="character" w:customStyle="1" w:styleId="27">
    <w:name w:val="Unresolved Mention"/>
    <w:basedOn w:val="8"/>
    <w:semiHidden/>
    <w:unhideWhenUsed/>
    <w:qFormat/>
    <w:uiPriority w:val="99"/>
    <w:rPr>
      <w:color w:val="605E5C"/>
      <w:shd w:val="clear" w:color="auto" w:fill="E1DFDD"/>
    </w:rPr>
  </w:style>
  <w:style w:type="table" w:customStyle="1" w:styleId="28">
    <w:name w:val="_Style 26"/>
    <w:basedOn w:val="15"/>
    <w:uiPriority w:val="0"/>
    <w:tblPr>
      <w:tblCellMar>
        <w:left w:w="115" w:type="dxa"/>
        <w:right w:w="115" w:type="dxa"/>
      </w:tblCellMar>
    </w:tblPr>
  </w:style>
  <w:style w:type="table" w:customStyle="1" w:styleId="29">
    <w:name w:val="_Style 27"/>
    <w:basedOn w:val="15"/>
    <w:uiPriority w:val="0"/>
    <w:tblPr>
      <w:tblCellMar>
        <w:left w:w="115" w:type="dxa"/>
        <w:right w:w="115" w:type="dxa"/>
      </w:tblCellMar>
    </w:tblPr>
  </w:style>
  <w:style w:type="table" w:customStyle="1" w:styleId="30">
    <w:name w:val="_Style 28"/>
    <w:basedOn w:val="15"/>
    <w:qFormat/>
    <w:uiPriority w:val="0"/>
    <w:tblPr>
      <w:tblCellMar>
        <w:left w:w="115" w:type="dxa"/>
        <w:right w:w="115" w:type="dxa"/>
      </w:tblCellMar>
    </w:tblPr>
  </w:style>
  <w:style w:type="table" w:customStyle="1" w:styleId="31">
    <w:name w:val="_Style 30"/>
    <w:basedOn w:val="15"/>
    <w:qFormat/>
    <w:uiPriority w:val="0"/>
    <w:tblPr>
      <w:tblCellMar>
        <w:top w:w="0" w:type="dxa"/>
        <w:left w:w="115" w:type="dxa"/>
        <w:bottom w:w="0" w:type="dxa"/>
        <w:right w:w="115" w:type="dxa"/>
      </w:tblCellMar>
    </w:tblPr>
  </w:style>
  <w:style w:type="table" w:customStyle="1" w:styleId="32">
    <w:name w:val="_Style 31"/>
    <w:basedOn w:val="15"/>
    <w:uiPriority w:val="0"/>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d9tDtlYhYpHrI0teC9YXgIdJsQ==">CgMxLjAyCWguM2R5NnZrbTINaC5ueTk0bmpkbDd5MDIOaC5na3p5em0zdWRycjUyDmguOXFndTZzNzZ6anhxMg5oLjFienhsZDM0cWwzeDgAciExLVlFd0s2cVRrV1B5Nm9WX2VZOFJicFMybGh1U3lwSVY=</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22</Pages>
  <TotalTime>0</TotalTime>
  <ScaleCrop>false</ScaleCrop>
  <LinksUpToDate>false</LinksUpToDate>
  <Application>WPS Office_12.2.0.21931_F1E327BC-269C-435d-A152-05C5408002CA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2025-10-30T17:49:00Z</dcterms:created>
  <dc:creator>Maaike Beukenkamp</dc:creator>
  <cp:lastModifiedBy>Home</cp:lastModifiedBy>
  <dcterms:modified xsi:type="dcterms:W3CDTF">2025-10-31T21:26:24Z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1033-12.2.0.21931</vt:lpwstr>
  </property>
  <property fmtid="{D5CDD505-2E9C-101B-9397-08002B2CF9AE}" pid="3" name="ICV">
    <vt:lpwstr>6C370C64A8E94BC8BB1A44CA8257EE6D_13</vt:lpwstr>
  </property>
</Properties>
</file>